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AF15E" w14:textId="2F636985" w:rsidR="00AA35B4" w:rsidRPr="0081026F" w:rsidRDefault="008C482E" w:rsidP="00AD692E">
      <w:pPr>
        <w:spacing w:after="218" w:line="259" w:lineRule="auto"/>
        <w:ind w:left="427" w:right="0" w:firstLine="0"/>
        <w:rPr>
          <w:rFonts w:asciiTheme="minorHAnsi" w:hAnsiTheme="minorHAnsi" w:cstheme="minorHAnsi"/>
        </w:rPr>
      </w:pPr>
      <w:r>
        <w:rPr>
          <w:rFonts w:asciiTheme="minorHAnsi" w:hAnsiTheme="minorHAnsi" w:cstheme="minorHAnsi"/>
          <w:b/>
        </w:rPr>
        <w:t xml:space="preserve"> </w:t>
      </w:r>
      <w:r w:rsidR="00107A22" w:rsidRPr="0081026F">
        <w:rPr>
          <w:rFonts w:asciiTheme="minorHAnsi" w:hAnsiTheme="minorHAnsi" w:cstheme="minorHAnsi"/>
          <w:b/>
        </w:rPr>
        <w:t xml:space="preserve"> </w:t>
      </w:r>
    </w:p>
    <w:p w14:paraId="1A7DF8BD" w14:textId="1C0F071E" w:rsidR="001F0C80" w:rsidRPr="008154B4" w:rsidRDefault="00F2441F" w:rsidP="001F0C80">
      <w:pPr>
        <w:spacing w:after="0" w:line="260" w:lineRule="auto"/>
        <w:ind w:right="0" w:firstLine="0"/>
        <w:jc w:val="center"/>
        <w:rPr>
          <w:rFonts w:ascii="Open Sans Light" w:hAnsi="Open Sans Light" w:cs="Open Sans Light"/>
        </w:rPr>
      </w:pPr>
      <w:r w:rsidRPr="002035A8">
        <w:rPr>
          <w:rFonts w:ascii="Open Sans Light" w:hAnsi="Open Sans Light" w:cs="Open Sans Light"/>
          <w:caps/>
          <w:color w:val="2F5496"/>
          <w:sz w:val="28"/>
        </w:rPr>
        <w:t xml:space="preserve"> </w:t>
      </w:r>
      <w:r w:rsidR="001F0C80" w:rsidRPr="00251E7B">
        <w:rPr>
          <w:rFonts w:ascii="Open Sans Light" w:hAnsi="Open Sans Light" w:cs="Open Sans Light"/>
          <w:caps/>
          <w:color w:val="2F5496"/>
          <w:sz w:val="28"/>
        </w:rPr>
        <w:t>Istruzioni</w:t>
      </w:r>
      <w:r w:rsidR="001F0C80" w:rsidRPr="002035A8">
        <w:rPr>
          <w:rFonts w:ascii="Open Sans Light" w:hAnsi="Open Sans Light" w:cs="Open Sans Light"/>
          <w:caps/>
          <w:color w:val="2F5496"/>
          <w:sz w:val="28"/>
        </w:rPr>
        <w:t xml:space="preserve"> relative al rispetto del principio “DNSH – Do no significant harm” nell’attuazione degli interventi di competenza del </w:t>
      </w:r>
      <w:r w:rsidR="00251E7B">
        <w:rPr>
          <w:rFonts w:ascii="Open Sans Light" w:hAnsi="Open Sans Light" w:cs="Open Sans Light"/>
          <w:caps/>
          <w:color w:val="2F5496"/>
          <w:sz w:val="28"/>
        </w:rPr>
        <w:t xml:space="preserve">MINISTERO </w:t>
      </w:r>
      <w:r w:rsidR="001F0C80" w:rsidRPr="002035A8">
        <w:rPr>
          <w:rFonts w:ascii="Open Sans Light" w:hAnsi="Open Sans Light" w:cs="Open Sans Light"/>
          <w:caps/>
          <w:color w:val="2F5496"/>
          <w:sz w:val="28"/>
        </w:rPr>
        <w:t>del</w:t>
      </w:r>
      <w:r w:rsidR="00933666">
        <w:rPr>
          <w:rFonts w:ascii="Open Sans Light" w:hAnsi="Open Sans Light" w:cs="Open Sans Light"/>
          <w:caps/>
          <w:color w:val="2F5496"/>
          <w:sz w:val="28"/>
        </w:rPr>
        <w:t>LA GIUSTIZIA</w:t>
      </w:r>
      <w:r w:rsidR="00D61793">
        <w:rPr>
          <w:rFonts w:ascii="Open Sans Light" w:hAnsi="Open Sans Light" w:cs="Open Sans Light"/>
          <w:caps/>
          <w:color w:val="2F5496"/>
          <w:sz w:val="28"/>
        </w:rPr>
        <w:t xml:space="preserve"> </w:t>
      </w:r>
      <w:r w:rsidR="001F0C80" w:rsidRPr="002035A8">
        <w:rPr>
          <w:rFonts w:ascii="Open Sans Light" w:hAnsi="Open Sans Light" w:cs="Open Sans Light"/>
          <w:caps/>
          <w:color w:val="2F5496"/>
          <w:sz w:val="28"/>
        </w:rPr>
        <w:t>finanziati dal PNRR</w:t>
      </w:r>
      <w:r w:rsidR="001F0C80" w:rsidRPr="008154B4">
        <w:rPr>
          <w:rFonts w:ascii="Open Sans Light" w:hAnsi="Open Sans Light" w:cs="Open Sans Light"/>
          <w:color w:val="2F5496"/>
        </w:rPr>
        <w:t xml:space="preserve"> </w:t>
      </w:r>
    </w:p>
    <w:p w14:paraId="02C07CFD" w14:textId="2BFCFC6C" w:rsidR="00AA35B4" w:rsidRPr="0081026F" w:rsidRDefault="00107A22">
      <w:pPr>
        <w:spacing w:after="160" w:line="259" w:lineRule="auto"/>
        <w:ind w:left="427" w:right="0" w:firstLine="0"/>
        <w:jc w:val="left"/>
        <w:rPr>
          <w:rFonts w:asciiTheme="minorHAnsi" w:hAnsiTheme="minorHAnsi" w:cstheme="minorHAnsi"/>
          <w:b/>
        </w:rPr>
      </w:pPr>
      <w:r w:rsidRPr="0081026F">
        <w:rPr>
          <w:rFonts w:asciiTheme="minorHAnsi" w:hAnsiTheme="minorHAnsi" w:cstheme="minorHAnsi"/>
          <w:b/>
        </w:rPr>
        <w:t xml:space="preserve"> </w:t>
      </w:r>
    </w:p>
    <w:sdt>
      <w:sdtPr>
        <w:rPr>
          <w:rFonts w:ascii="Calibri" w:eastAsia="Calibri" w:hAnsi="Calibri" w:cs="Calibri"/>
          <w:color w:val="000000"/>
          <w:sz w:val="22"/>
          <w:szCs w:val="22"/>
        </w:rPr>
        <w:id w:val="-1832283845"/>
        <w:docPartObj>
          <w:docPartGallery w:val="Table of Contents"/>
          <w:docPartUnique/>
        </w:docPartObj>
      </w:sdtPr>
      <w:sdtEndPr>
        <w:rPr>
          <w:b/>
          <w:bCs/>
        </w:rPr>
      </w:sdtEndPr>
      <w:sdtContent>
        <w:p w14:paraId="27813338" w14:textId="081653AE" w:rsidR="00C45863" w:rsidRDefault="00C45863" w:rsidP="00CD207B">
          <w:pPr>
            <w:pStyle w:val="Titolosommario"/>
            <w:tabs>
              <w:tab w:val="left" w:pos="6830"/>
            </w:tabs>
            <w:ind w:left="567"/>
          </w:pPr>
          <w:r>
            <w:t>Sommario</w:t>
          </w:r>
          <w:r w:rsidR="00CD2039">
            <w:tab/>
          </w:r>
        </w:p>
        <w:p w14:paraId="7B88F074" w14:textId="31E5814D" w:rsidR="00DE03BB" w:rsidRDefault="00C45863">
          <w:pPr>
            <w:pStyle w:val="Sommario1"/>
            <w:rPr>
              <w:rFonts w:asciiTheme="minorHAnsi" w:eastAsiaTheme="minorEastAsia" w:hAnsiTheme="minorHAnsi" w:cstheme="minorBidi"/>
              <w:noProof/>
              <w:color w:val="auto"/>
            </w:rPr>
          </w:pPr>
          <w:r>
            <w:fldChar w:fldCharType="begin"/>
          </w:r>
          <w:r>
            <w:instrText xml:space="preserve"> TOC \o "1-3" \h \z \u </w:instrText>
          </w:r>
          <w:r>
            <w:fldChar w:fldCharType="separate"/>
          </w:r>
          <w:hyperlink w:anchor="_Toc152582338" w:history="1">
            <w:r w:rsidR="00DE03BB" w:rsidRPr="008F57A6">
              <w:rPr>
                <w:rStyle w:val="Collegamentoipertestuale"/>
                <w:rFonts w:cstheme="minorHAnsi"/>
                <w:b/>
                <w:noProof/>
              </w:rPr>
              <w:t>1.</w:t>
            </w:r>
            <w:r w:rsidR="00DE03BB">
              <w:rPr>
                <w:rFonts w:asciiTheme="minorHAnsi" w:eastAsiaTheme="minorEastAsia" w:hAnsiTheme="minorHAnsi" w:cstheme="minorBidi"/>
                <w:noProof/>
                <w:color w:val="auto"/>
              </w:rPr>
              <w:tab/>
            </w:r>
            <w:r w:rsidR="00DE03BB" w:rsidRPr="008F57A6">
              <w:rPr>
                <w:rStyle w:val="Collegamentoipertestuale"/>
                <w:rFonts w:cstheme="minorHAnsi"/>
                <w:b/>
                <w:noProof/>
              </w:rPr>
              <w:t>Premessa</w:t>
            </w:r>
            <w:r w:rsidR="00DE03BB">
              <w:rPr>
                <w:noProof/>
                <w:webHidden/>
              </w:rPr>
              <w:tab/>
            </w:r>
            <w:r w:rsidR="00DE03BB">
              <w:rPr>
                <w:noProof/>
                <w:webHidden/>
              </w:rPr>
              <w:fldChar w:fldCharType="begin"/>
            </w:r>
            <w:r w:rsidR="00DE03BB">
              <w:rPr>
                <w:noProof/>
                <w:webHidden/>
              </w:rPr>
              <w:instrText xml:space="preserve"> PAGEREF _Toc152582338 \h </w:instrText>
            </w:r>
            <w:r w:rsidR="00DE03BB">
              <w:rPr>
                <w:noProof/>
                <w:webHidden/>
              </w:rPr>
            </w:r>
            <w:r w:rsidR="00DE03BB">
              <w:rPr>
                <w:noProof/>
                <w:webHidden/>
              </w:rPr>
              <w:fldChar w:fldCharType="separate"/>
            </w:r>
            <w:r w:rsidR="00DE03BB">
              <w:rPr>
                <w:noProof/>
                <w:webHidden/>
              </w:rPr>
              <w:t>2</w:t>
            </w:r>
            <w:r w:rsidR="00DE03BB">
              <w:rPr>
                <w:noProof/>
                <w:webHidden/>
              </w:rPr>
              <w:fldChar w:fldCharType="end"/>
            </w:r>
          </w:hyperlink>
        </w:p>
        <w:p w14:paraId="4F7D8F1F" w14:textId="4A3C11AA" w:rsidR="00DE03BB" w:rsidRDefault="00DE03BB">
          <w:pPr>
            <w:pStyle w:val="Sommario1"/>
            <w:rPr>
              <w:rFonts w:asciiTheme="minorHAnsi" w:eastAsiaTheme="minorEastAsia" w:hAnsiTheme="minorHAnsi" w:cstheme="minorBidi"/>
              <w:noProof/>
              <w:color w:val="auto"/>
            </w:rPr>
          </w:pPr>
          <w:hyperlink w:anchor="_Toc152582339" w:history="1">
            <w:r w:rsidRPr="008F57A6">
              <w:rPr>
                <w:rStyle w:val="Collegamentoipertestuale"/>
                <w:rFonts w:cstheme="minorHAnsi"/>
                <w:b/>
                <w:noProof/>
              </w:rPr>
              <w:t>2.</w:t>
            </w:r>
            <w:r>
              <w:rPr>
                <w:rFonts w:asciiTheme="minorHAnsi" w:eastAsiaTheme="minorEastAsia" w:hAnsiTheme="minorHAnsi" w:cstheme="minorBidi"/>
                <w:noProof/>
                <w:color w:val="auto"/>
              </w:rPr>
              <w:tab/>
            </w:r>
            <w:r w:rsidRPr="008F57A6">
              <w:rPr>
                <w:rStyle w:val="Collegamentoipertestuale"/>
                <w:rFonts w:cstheme="minorHAnsi"/>
                <w:b/>
                <w:noProof/>
              </w:rPr>
              <w:t>Inquadramento del contesto programmatico e normativo</w:t>
            </w:r>
            <w:r>
              <w:rPr>
                <w:noProof/>
                <w:webHidden/>
              </w:rPr>
              <w:tab/>
            </w:r>
            <w:r>
              <w:rPr>
                <w:noProof/>
                <w:webHidden/>
              </w:rPr>
              <w:fldChar w:fldCharType="begin"/>
            </w:r>
            <w:r>
              <w:rPr>
                <w:noProof/>
                <w:webHidden/>
              </w:rPr>
              <w:instrText xml:space="preserve"> PAGEREF _Toc152582339 \h </w:instrText>
            </w:r>
            <w:r>
              <w:rPr>
                <w:noProof/>
                <w:webHidden/>
              </w:rPr>
            </w:r>
            <w:r>
              <w:rPr>
                <w:noProof/>
                <w:webHidden/>
              </w:rPr>
              <w:fldChar w:fldCharType="separate"/>
            </w:r>
            <w:r>
              <w:rPr>
                <w:noProof/>
                <w:webHidden/>
              </w:rPr>
              <w:t>2</w:t>
            </w:r>
            <w:r>
              <w:rPr>
                <w:noProof/>
                <w:webHidden/>
              </w:rPr>
              <w:fldChar w:fldCharType="end"/>
            </w:r>
          </w:hyperlink>
        </w:p>
        <w:p w14:paraId="1EE87134" w14:textId="255CAF29" w:rsidR="00DE03BB" w:rsidRDefault="00DE03BB">
          <w:pPr>
            <w:pStyle w:val="Sommario1"/>
            <w:rPr>
              <w:rFonts w:asciiTheme="minorHAnsi" w:eastAsiaTheme="minorEastAsia" w:hAnsiTheme="minorHAnsi" w:cstheme="minorBidi"/>
              <w:noProof/>
              <w:color w:val="auto"/>
            </w:rPr>
          </w:pPr>
          <w:hyperlink w:anchor="_Toc152582340" w:history="1">
            <w:r w:rsidRPr="008F57A6">
              <w:rPr>
                <w:rStyle w:val="Collegamentoipertestuale"/>
                <w:rFonts w:cstheme="minorHAnsi"/>
                <w:b/>
                <w:noProof/>
              </w:rPr>
              <w:t>3.</w:t>
            </w:r>
            <w:r>
              <w:rPr>
                <w:rFonts w:asciiTheme="minorHAnsi" w:eastAsiaTheme="minorEastAsia" w:hAnsiTheme="minorHAnsi" w:cstheme="minorBidi"/>
                <w:noProof/>
                <w:color w:val="auto"/>
              </w:rPr>
              <w:tab/>
            </w:r>
            <w:r w:rsidRPr="008F57A6">
              <w:rPr>
                <w:rStyle w:val="Collegamentoipertestuale"/>
                <w:rFonts w:cstheme="minorHAnsi"/>
                <w:b/>
                <w:noProof/>
              </w:rPr>
              <w:t>Indicazioni per una corretta applicazione del Principio DNSH</w:t>
            </w:r>
            <w:r>
              <w:rPr>
                <w:noProof/>
                <w:webHidden/>
              </w:rPr>
              <w:tab/>
            </w:r>
            <w:r>
              <w:rPr>
                <w:noProof/>
                <w:webHidden/>
              </w:rPr>
              <w:fldChar w:fldCharType="begin"/>
            </w:r>
            <w:r>
              <w:rPr>
                <w:noProof/>
                <w:webHidden/>
              </w:rPr>
              <w:instrText xml:space="preserve"> PAGEREF _Toc152582340 \h </w:instrText>
            </w:r>
            <w:r>
              <w:rPr>
                <w:noProof/>
                <w:webHidden/>
              </w:rPr>
            </w:r>
            <w:r>
              <w:rPr>
                <w:noProof/>
                <w:webHidden/>
              </w:rPr>
              <w:fldChar w:fldCharType="separate"/>
            </w:r>
            <w:r>
              <w:rPr>
                <w:noProof/>
                <w:webHidden/>
              </w:rPr>
              <w:t>6</w:t>
            </w:r>
            <w:r>
              <w:rPr>
                <w:noProof/>
                <w:webHidden/>
              </w:rPr>
              <w:fldChar w:fldCharType="end"/>
            </w:r>
          </w:hyperlink>
        </w:p>
        <w:p w14:paraId="564BA2AB" w14:textId="2EA0F0ED" w:rsidR="00DE03BB" w:rsidRDefault="00DE03BB">
          <w:pPr>
            <w:pStyle w:val="Sommario2"/>
            <w:tabs>
              <w:tab w:val="right" w:leader="dot" w:pos="10519"/>
            </w:tabs>
            <w:rPr>
              <w:rFonts w:asciiTheme="minorHAnsi" w:eastAsiaTheme="minorEastAsia" w:hAnsiTheme="minorHAnsi" w:cstheme="minorBidi"/>
              <w:noProof/>
              <w:color w:val="auto"/>
            </w:rPr>
          </w:pPr>
          <w:hyperlink w:anchor="_Toc152582341" w:history="1">
            <w:r w:rsidRPr="008F57A6">
              <w:rPr>
                <w:rStyle w:val="Collegamentoipertestuale"/>
                <w:noProof/>
              </w:rPr>
              <w:t>Focus Criteri Ambientali Minimi</w:t>
            </w:r>
            <w:r>
              <w:rPr>
                <w:noProof/>
                <w:webHidden/>
              </w:rPr>
              <w:tab/>
            </w:r>
            <w:r>
              <w:rPr>
                <w:noProof/>
                <w:webHidden/>
              </w:rPr>
              <w:fldChar w:fldCharType="begin"/>
            </w:r>
            <w:r>
              <w:rPr>
                <w:noProof/>
                <w:webHidden/>
              </w:rPr>
              <w:instrText xml:space="preserve"> PAGEREF _Toc152582341 \h </w:instrText>
            </w:r>
            <w:r>
              <w:rPr>
                <w:noProof/>
                <w:webHidden/>
              </w:rPr>
            </w:r>
            <w:r>
              <w:rPr>
                <w:noProof/>
                <w:webHidden/>
              </w:rPr>
              <w:fldChar w:fldCharType="separate"/>
            </w:r>
            <w:r>
              <w:rPr>
                <w:noProof/>
                <w:webHidden/>
              </w:rPr>
              <w:t>9</w:t>
            </w:r>
            <w:r>
              <w:rPr>
                <w:noProof/>
                <w:webHidden/>
              </w:rPr>
              <w:fldChar w:fldCharType="end"/>
            </w:r>
          </w:hyperlink>
        </w:p>
        <w:p w14:paraId="2EAC5E9A" w14:textId="2FB80862" w:rsidR="00DE03BB" w:rsidRDefault="00DE03BB">
          <w:pPr>
            <w:pStyle w:val="Sommario2"/>
            <w:tabs>
              <w:tab w:val="right" w:leader="dot" w:pos="10519"/>
            </w:tabs>
            <w:rPr>
              <w:rFonts w:asciiTheme="minorHAnsi" w:eastAsiaTheme="minorEastAsia" w:hAnsiTheme="minorHAnsi" w:cstheme="minorBidi"/>
              <w:noProof/>
              <w:color w:val="auto"/>
            </w:rPr>
          </w:pPr>
          <w:hyperlink w:anchor="_Toc152582342" w:history="1">
            <w:r w:rsidRPr="008F57A6">
              <w:rPr>
                <w:rStyle w:val="Collegamentoipertestuale"/>
                <w:noProof/>
              </w:rPr>
              <w:t>Focus Rendicontazione delle spese attraverso REGIS</w:t>
            </w:r>
            <w:r>
              <w:rPr>
                <w:noProof/>
                <w:webHidden/>
              </w:rPr>
              <w:tab/>
            </w:r>
            <w:r>
              <w:rPr>
                <w:noProof/>
                <w:webHidden/>
              </w:rPr>
              <w:fldChar w:fldCharType="begin"/>
            </w:r>
            <w:r>
              <w:rPr>
                <w:noProof/>
                <w:webHidden/>
              </w:rPr>
              <w:instrText xml:space="preserve"> PAGEREF _Toc152582342 \h </w:instrText>
            </w:r>
            <w:r>
              <w:rPr>
                <w:noProof/>
                <w:webHidden/>
              </w:rPr>
            </w:r>
            <w:r>
              <w:rPr>
                <w:noProof/>
                <w:webHidden/>
              </w:rPr>
              <w:fldChar w:fldCharType="separate"/>
            </w:r>
            <w:r>
              <w:rPr>
                <w:noProof/>
                <w:webHidden/>
              </w:rPr>
              <w:t>9</w:t>
            </w:r>
            <w:r>
              <w:rPr>
                <w:noProof/>
                <w:webHidden/>
              </w:rPr>
              <w:fldChar w:fldCharType="end"/>
            </w:r>
          </w:hyperlink>
        </w:p>
        <w:p w14:paraId="25B603AD" w14:textId="73C19E5E" w:rsidR="00DE03BB" w:rsidRDefault="00DE03BB">
          <w:pPr>
            <w:pStyle w:val="Sommario2"/>
            <w:tabs>
              <w:tab w:val="right" w:leader="dot" w:pos="10519"/>
            </w:tabs>
            <w:rPr>
              <w:rFonts w:asciiTheme="minorHAnsi" w:eastAsiaTheme="minorEastAsia" w:hAnsiTheme="minorHAnsi" w:cstheme="minorBidi"/>
              <w:noProof/>
              <w:color w:val="auto"/>
            </w:rPr>
          </w:pPr>
          <w:hyperlink w:anchor="_Toc152582343" w:history="1">
            <w:r w:rsidRPr="008F57A6">
              <w:rPr>
                <w:rStyle w:val="Collegamentoipertestuale"/>
                <w:noProof/>
              </w:rPr>
              <w:t>Focus Rendicontazione delle procedure di affidamento e attestazione di gara attraverso Regis</w:t>
            </w:r>
            <w:r>
              <w:rPr>
                <w:noProof/>
                <w:webHidden/>
              </w:rPr>
              <w:tab/>
            </w:r>
            <w:r>
              <w:rPr>
                <w:noProof/>
                <w:webHidden/>
              </w:rPr>
              <w:fldChar w:fldCharType="begin"/>
            </w:r>
            <w:r>
              <w:rPr>
                <w:noProof/>
                <w:webHidden/>
              </w:rPr>
              <w:instrText xml:space="preserve"> PAGEREF _Toc152582343 \h </w:instrText>
            </w:r>
            <w:r>
              <w:rPr>
                <w:noProof/>
                <w:webHidden/>
              </w:rPr>
            </w:r>
            <w:r>
              <w:rPr>
                <w:noProof/>
                <w:webHidden/>
              </w:rPr>
              <w:fldChar w:fldCharType="separate"/>
            </w:r>
            <w:r>
              <w:rPr>
                <w:noProof/>
                <w:webHidden/>
              </w:rPr>
              <w:t>10</w:t>
            </w:r>
            <w:r>
              <w:rPr>
                <w:noProof/>
                <w:webHidden/>
              </w:rPr>
              <w:fldChar w:fldCharType="end"/>
            </w:r>
          </w:hyperlink>
        </w:p>
        <w:p w14:paraId="52B7D37F" w14:textId="225ECC71" w:rsidR="00DE03BB" w:rsidRDefault="00DE03BB">
          <w:pPr>
            <w:pStyle w:val="Sommario1"/>
            <w:rPr>
              <w:rFonts w:asciiTheme="minorHAnsi" w:eastAsiaTheme="minorEastAsia" w:hAnsiTheme="minorHAnsi" w:cstheme="minorBidi"/>
              <w:noProof/>
              <w:color w:val="auto"/>
            </w:rPr>
          </w:pPr>
          <w:hyperlink w:anchor="_Toc152582344" w:history="1">
            <w:r w:rsidRPr="008F57A6">
              <w:rPr>
                <w:rStyle w:val="Collegamentoipertestuale"/>
                <w:rFonts w:cstheme="minorHAnsi"/>
                <w:b/>
                <w:noProof/>
              </w:rPr>
              <w:t>4.</w:t>
            </w:r>
            <w:r>
              <w:rPr>
                <w:rFonts w:asciiTheme="minorHAnsi" w:eastAsiaTheme="minorEastAsia" w:hAnsiTheme="minorHAnsi" w:cstheme="minorBidi"/>
                <w:noProof/>
                <w:color w:val="auto"/>
              </w:rPr>
              <w:tab/>
            </w:r>
            <w:r w:rsidRPr="008F57A6">
              <w:rPr>
                <w:rStyle w:val="Collegamentoipertestuale"/>
                <w:rFonts w:cstheme="minorHAnsi"/>
                <w:b/>
                <w:noProof/>
              </w:rPr>
              <w:t>Missione 2 – Efficienza energetica e riqualificazione degli edifici - Indicazioni per una corretta applicazione del Principio DNSH</w:t>
            </w:r>
            <w:r>
              <w:rPr>
                <w:noProof/>
                <w:webHidden/>
              </w:rPr>
              <w:tab/>
            </w:r>
            <w:r>
              <w:rPr>
                <w:noProof/>
                <w:webHidden/>
              </w:rPr>
              <w:fldChar w:fldCharType="begin"/>
            </w:r>
            <w:r>
              <w:rPr>
                <w:noProof/>
                <w:webHidden/>
              </w:rPr>
              <w:instrText xml:space="preserve"> PAGEREF _Toc152582344 \h </w:instrText>
            </w:r>
            <w:r>
              <w:rPr>
                <w:noProof/>
                <w:webHidden/>
              </w:rPr>
            </w:r>
            <w:r>
              <w:rPr>
                <w:noProof/>
                <w:webHidden/>
              </w:rPr>
              <w:fldChar w:fldCharType="separate"/>
            </w:r>
            <w:r>
              <w:rPr>
                <w:noProof/>
                <w:webHidden/>
              </w:rPr>
              <w:t>10</w:t>
            </w:r>
            <w:r>
              <w:rPr>
                <w:noProof/>
                <w:webHidden/>
              </w:rPr>
              <w:fldChar w:fldCharType="end"/>
            </w:r>
          </w:hyperlink>
        </w:p>
        <w:p w14:paraId="71398C32" w14:textId="2BFFEAA7" w:rsidR="00DE03BB" w:rsidRDefault="00DE03BB">
          <w:pPr>
            <w:pStyle w:val="Sommario1"/>
            <w:rPr>
              <w:rFonts w:asciiTheme="minorHAnsi" w:eastAsiaTheme="minorEastAsia" w:hAnsiTheme="minorHAnsi" w:cstheme="minorBidi"/>
              <w:noProof/>
              <w:color w:val="auto"/>
            </w:rPr>
          </w:pPr>
          <w:hyperlink w:anchor="_Toc152582345" w:history="1">
            <w:r w:rsidRPr="008F57A6">
              <w:rPr>
                <w:rStyle w:val="Collegamentoipertestuale"/>
                <w:rFonts w:cstheme="minorHAnsi"/>
                <w:b/>
                <w:noProof/>
              </w:rPr>
              <w:t>5.</w:t>
            </w:r>
            <w:r>
              <w:rPr>
                <w:rFonts w:asciiTheme="minorHAnsi" w:eastAsiaTheme="minorEastAsia" w:hAnsiTheme="minorHAnsi" w:cstheme="minorBidi"/>
                <w:noProof/>
                <w:color w:val="auto"/>
              </w:rPr>
              <w:tab/>
            </w:r>
            <w:r w:rsidRPr="008F57A6">
              <w:rPr>
                <w:rStyle w:val="Collegamentoipertestuale"/>
                <w:rFonts w:cstheme="minorHAnsi"/>
                <w:b/>
                <w:noProof/>
              </w:rPr>
              <w:t>Conservazione della documentazione</w:t>
            </w:r>
            <w:r>
              <w:rPr>
                <w:noProof/>
                <w:webHidden/>
              </w:rPr>
              <w:tab/>
            </w:r>
            <w:r>
              <w:rPr>
                <w:noProof/>
                <w:webHidden/>
              </w:rPr>
              <w:fldChar w:fldCharType="begin"/>
            </w:r>
            <w:r>
              <w:rPr>
                <w:noProof/>
                <w:webHidden/>
              </w:rPr>
              <w:instrText xml:space="preserve"> PAGEREF _Toc152582345 \h </w:instrText>
            </w:r>
            <w:r>
              <w:rPr>
                <w:noProof/>
                <w:webHidden/>
              </w:rPr>
            </w:r>
            <w:r>
              <w:rPr>
                <w:noProof/>
                <w:webHidden/>
              </w:rPr>
              <w:fldChar w:fldCharType="separate"/>
            </w:r>
            <w:r>
              <w:rPr>
                <w:noProof/>
                <w:webHidden/>
              </w:rPr>
              <w:t>11</w:t>
            </w:r>
            <w:r>
              <w:rPr>
                <w:noProof/>
                <w:webHidden/>
              </w:rPr>
              <w:fldChar w:fldCharType="end"/>
            </w:r>
          </w:hyperlink>
        </w:p>
        <w:p w14:paraId="47C44AEE" w14:textId="44949BCA" w:rsidR="00DE03BB" w:rsidRDefault="00DE03BB">
          <w:pPr>
            <w:pStyle w:val="Sommario1"/>
            <w:rPr>
              <w:rFonts w:asciiTheme="minorHAnsi" w:eastAsiaTheme="minorEastAsia" w:hAnsiTheme="minorHAnsi" w:cstheme="minorBidi"/>
              <w:noProof/>
              <w:color w:val="auto"/>
            </w:rPr>
          </w:pPr>
          <w:hyperlink w:anchor="_Toc152582346" w:history="1">
            <w:r w:rsidRPr="008F57A6">
              <w:rPr>
                <w:rStyle w:val="Collegamentoipertestuale"/>
                <w:rFonts w:cstheme="minorHAnsi"/>
                <w:b/>
                <w:noProof/>
              </w:rPr>
              <w:t>6.</w:t>
            </w:r>
            <w:r>
              <w:rPr>
                <w:rFonts w:asciiTheme="minorHAnsi" w:eastAsiaTheme="minorEastAsia" w:hAnsiTheme="minorHAnsi" w:cstheme="minorBidi"/>
                <w:noProof/>
                <w:color w:val="auto"/>
              </w:rPr>
              <w:tab/>
            </w:r>
            <w:r w:rsidRPr="008F57A6">
              <w:rPr>
                <w:rStyle w:val="Collegamentoipertestuale"/>
                <w:rFonts w:cstheme="minorHAnsi"/>
                <w:b/>
                <w:noProof/>
              </w:rPr>
              <w:t>Conclusioni</w:t>
            </w:r>
            <w:r>
              <w:rPr>
                <w:noProof/>
                <w:webHidden/>
              </w:rPr>
              <w:tab/>
            </w:r>
            <w:r>
              <w:rPr>
                <w:noProof/>
                <w:webHidden/>
              </w:rPr>
              <w:fldChar w:fldCharType="begin"/>
            </w:r>
            <w:r>
              <w:rPr>
                <w:noProof/>
                <w:webHidden/>
              </w:rPr>
              <w:instrText xml:space="preserve"> PAGEREF _Toc152582346 \h </w:instrText>
            </w:r>
            <w:r>
              <w:rPr>
                <w:noProof/>
                <w:webHidden/>
              </w:rPr>
            </w:r>
            <w:r>
              <w:rPr>
                <w:noProof/>
                <w:webHidden/>
              </w:rPr>
              <w:fldChar w:fldCharType="separate"/>
            </w:r>
            <w:r>
              <w:rPr>
                <w:noProof/>
                <w:webHidden/>
              </w:rPr>
              <w:t>12</w:t>
            </w:r>
            <w:r>
              <w:rPr>
                <w:noProof/>
                <w:webHidden/>
              </w:rPr>
              <w:fldChar w:fldCharType="end"/>
            </w:r>
          </w:hyperlink>
        </w:p>
        <w:p w14:paraId="507B7489" w14:textId="3226F530" w:rsidR="00DE03BB" w:rsidRDefault="00DE03BB">
          <w:pPr>
            <w:pStyle w:val="Sommario1"/>
            <w:rPr>
              <w:rFonts w:asciiTheme="minorHAnsi" w:eastAsiaTheme="minorEastAsia" w:hAnsiTheme="minorHAnsi" w:cstheme="minorBidi"/>
              <w:noProof/>
              <w:color w:val="auto"/>
            </w:rPr>
          </w:pPr>
          <w:hyperlink w:anchor="_Toc152582347" w:history="1">
            <w:r w:rsidRPr="008F57A6">
              <w:rPr>
                <w:rStyle w:val="Collegamentoipertestuale"/>
                <w:rFonts w:cstheme="minorHAnsi"/>
                <w:b/>
                <w:noProof/>
              </w:rPr>
              <w:t>ALLEGATI – Strumenti per la verifica DNSH per le Misure della Missione 2 - Costruzione di edifici, riqualificazione e rafforzamento del patrimonio immobiliare dell’amministrazione della giustizia</w:t>
            </w:r>
            <w:r>
              <w:rPr>
                <w:noProof/>
                <w:webHidden/>
              </w:rPr>
              <w:tab/>
            </w:r>
            <w:r>
              <w:rPr>
                <w:noProof/>
                <w:webHidden/>
              </w:rPr>
              <w:fldChar w:fldCharType="begin"/>
            </w:r>
            <w:r>
              <w:rPr>
                <w:noProof/>
                <w:webHidden/>
              </w:rPr>
              <w:instrText xml:space="preserve"> PAGEREF _Toc152582347 \h </w:instrText>
            </w:r>
            <w:r>
              <w:rPr>
                <w:noProof/>
                <w:webHidden/>
              </w:rPr>
            </w:r>
            <w:r>
              <w:rPr>
                <w:noProof/>
                <w:webHidden/>
              </w:rPr>
              <w:fldChar w:fldCharType="separate"/>
            </w:r>
            <w:r>
              <w:rPr>
                <w:noProof/>
                <w:webHidden/>
              </w:rPr>
              <w:t>12</w:t>
            </w:r>
            <w:r>
              <w:rPr>
                <w:noProof/>
                <w:webHidden/>
              </w:rPr>
              <w:fldChar w:fldCharType="end"/>
            </w:r>
          </w:hyperlink>
        </w:p>
        <w:p w14:paraId="2B329113" w14:textId="56DC624F" w:rsidR="00DE03BB" w:rsidRDefault="00DE03BB">
          <w:pPr>
            <w:pStyle w:val="Sommario3"/>
            <w:tabs>
              <w:tab w:val="left" w:pos="880"/>
            </w:tabs>
            <w:rPr>
              <w:rFonts w:asciiTheme="minorHAnsi" w:eastAsiaTheme="minorEastAsia" w:hAnsiTheme="minorHAnsi" w:cstheme="minorBidi"/>
              <w:color w:val="auto"/>
            </w:rPr>
          </w:pPr>
          <w:hyperlink w:anchor="_Toc152582348" w:history="1">
            <w:r w:rsidRPr="008F57A6">
              <w:rPr>
                <w:rStyle w:val="Collegamentoipertestuale"/>
                <w:rFonts w:ascii="Open Sans Light" w:hAnsi="Open Sans Light" w:cs="Open Sans Light"/>
                <w:iCs/>
              </w:rPr>
              <w:t>-</w:t>
            </w:r>
            <w:r>
              <w:rPr>
                <w:rFonts w:asciiTheme="minorHAnsi" w:eastAsiaTheme="minorEastAsia" w:hAnsiTheme="minorHAnsi" w:cstheme="minorBidi"/>
                <w:color w:val="auto"/>
              </w:rPr>
              <w:tab/>
            </w:r>
            <w:r w:rsidRPr="008F57A6">
              <w:rPr>
                <w:rStyle w:val="Collegamentoipertestuale"/>
                <w:rFonts w:cstheme="minorHAnsi"/>
                <w:iCs/>
              </w:rPr>
              <w:t>Allegato I - Schede tecniche (Missione 2 -</w:t>
            </w:r>
            <w:r w:rsidRPr="008F57A6">
              <w:rPr>
                <w:rStyle w:val="Collegamentoipertestuale"/>
              </w:rPr>
              <w:t xml:space="preserve"> </w:t>
            </w:r>
            <w:r w:rsidRPr="008F57A6">
              <w:rPr>
                <w:rStyle w:val="Collegamentoipertestuale"/>
                <w:rFonts w:cstheme="minorHAnsi"/>
                <w:iCs/>
              </w:rPr>
              <w:t>Costruzione di edifici, riqualificazione e rafforzamento del patrimonio immobiliare dell’amministrazione della giustizia)</w:t>
            </w:r>
            <w:r>
              <w:rPr>
                <w:webHidden/>
              </w:rPr>
              <w:tab/>
            </w:r>
            <w:r>
              <w:rPr>
                <w:webHidden/>
              </w:rPr>
              <w:fldChar w:fldCharType="begin"/>
            </w:r>
            <w:r>
              <w:rPr>
                <w:webHidden/>
              </w:rPr>
              <w:instrText xml:space="preserve"> PAGEREF _Toc152582348 \h </w:instrText>
            </w:r>
            <w:r>
              <w:rPr>
                <w:webHidden/>
              </w:rPr>
            </w:r>
            <w:r>
              <w:rPr>
                <w:webHidden/>
              </w:rPr>
              <w:fldChar w:fldCharType="separate"/>
            </w:r>
            <w:r>
              <w:rPr>
                <w:webHidden/>
              </w:rPr>
              <w:t>12</w:t>
            </w:r>
            <w:r>
              <w:rPr>
                <w:webHidden/>
              </w:rPr>
              <w:fldChar w:fldCharType="end"/>
            </w:r>
          </w:hyperlink>
        </w:p>
        <w:p w14:paraId="2296AD5C" w14:textId="4DF44F8E" w:rsidR="00C45863" w:rsidRDefault="00C45863" w:rsidP="00CD207B">
          <w:pPr>
            <w:ind w:left="567" w:firstLine="0"/>
          </w:pPr>
          <w:r>
            <w:rPr>
              <w:b/>
              <w:bCs/>
            </w:rPr>
            <w:fldChar w:fldCharType="end"/>
          </w:r>
        </w:p>
      </w:sdtContent>
    </w:sdt>
    <w:p w14:paraId="548532A2" w14:textId="6797F085" w:rsidR="00207F24" w:rsidRDefault="00207F24">
      <w:pPr>
        <w:spacing w:after="160" w:line="259" w:lineRule="auto"/>
        <w:ind w:left="0" w:right="0" w:firstLine="0"/>
        <w:jc w:val="left"/>
        <w:rPr>
          <w:rFonts w:asciiTheme="minorHAnsi" w:hAnsiTheme="minorHAnsi" w:cstheme="minorHAnsi"/>
          <w:b/>
        </w:rPr>
      </w:pPr>
      <w:r>
        <w:rPr>
          <w:rFonts w:asciiTheme="minorHAnsi" w:hAnsiTheme="minorHAnsi" w:cstheme="minorHAnsi"/>
          <w:b/>
        </w:rPr>
        <w:br w:type="page"/>
      </w:r>
    </w:p>
    <w:p w14:paraId="4AF31288" w14:textId="77777777" w:rsidR="007B2311" w:rsidRPr="0081026F" w:rsidRDefault="007B2311" w:rsidP="00B971CF">
      <w:pPr>
        <w:spacing w:after="160" w:line="259" w:lineRule="auto"/>
        <w:ind w:right="0"/>
        <w:jc w:val="left"/>
        <w:rPr>
          <w:rFonts w:asciiTheme="minorHAnsi" w:hAnsiTheme="minorHAnsi" w:cstheme="minorHAnsi"/>
          <w:b/>
        </w:rPr>
      </w:pPr>
    </w:p>
    <w:p w14:paraId="0C0AA870" w14:textId="524D95BE" w:rsidR="00CD207B" w:rsidRPr="00CD207B" w:rsidRDefault="00CD207B" w:rsidP="0074570D">
      <w:pPr>
        <w:pStyle w:val="Titolo1"/>
        <w:numPr>
          <w:ilvl w:val="0"/>
          <w:numId w:val="8"/>
        </w:numPr>
        <w:rPr>
          <w:rFonts w:asciiTheme="minorHAnsi" w:hAnsiTheme="minorHAnsi" w:cstheme="minorHAnsi"/>
          <w:b/>
          <w:u w:val="none"/>
        </w:rPr>
      </w:pPr>
      <w:bookmarkStart w:id="0" w:name="_Toc152582338"/>
      <w:r w:rsidRPr="00CD207B">
        <w:rPr>
          <w:rFonts w:asciiTheme="minorHAnsi" w:hAnsiTheme="minorHAnsi" w:cstheme="minorHAnsi"/>
          <w:b/>
          <w:u w:val="none"/>
        </w:rPr>
        <w:t>Premessa</w:t>
      </w:r>
      <w:bookmarkEnd w:id="0"/>
    </w:p>
    <w:p w14:paraId="3883ABDC" w14:textId="582F13EF" w:rsidR="00CD207B" w:rsidRDefault="00CD207B" w:rsidP="00CD207B">
      <w:pPr>
        <w:ind w:left="412" w:firstLine="0"/>
        <w:rPr>
          <w:rFonts w:ascii="Open Sans Light" w:hAnsi="Open Sans Light" w:cs="Open Sans Light"/>
        </w:rPr>
      </w:pPr>
      <w:r w:rsidRPr="00CD207B">
        <w:rPr>
          <w:rFonts w:ascii="Open Sans Light" w:hAnsi="Open Sans Light" w:cs="Open Sans Light"/>
        </w:rPr>
        <w:t xml:space="preserve">Il presente </w:t>
      </w:r>
      <w:r>
        <w:rPr>
          <w:rFonts w:ascii="Open Sans Light" w:hAnsi="Open Sans Light" w:cs="Open Sans Light"/>
        </w:rPr>
        <w:t>documento</w:t>
      </w:r>
      <w:r w:rsidRPr="00CD207B">
        <w:rPr>
          <w:rFonts w:ascii="Open Sans Light" w:hAnsi="Open Sans Light" w:cs="Open Sans Light"/>
        </w:rPr>
        <w:t xml:space="preserve"> è finalizzato a fornire indicazioni operative per lo svolgimento delle attività di verifica </w:t>
      </w:r>
      <w:r>
        <w:rPr>
          <w:rFonts w:ascii="Open Sans Light" w:hAnsi="Open Sans Light" w:cs="Open Sans Light"/>
        </w:rPr>
        <w:t xml:space="preserve">del </w:t>
      </w:r>
      <w:r w:rsidRPr="00CD207B">
        <w:rPr>
          <w:rFonts w:ascii="Open Sans Light" w:hAnsi="Open Sans Light" w:cs="Open Sans Light"/>
        </w:rPr>
        <w:t xml:space="preserve">rispetto del principio del </w:t>
      </w:r>
      <w:r w:rsidRPr="00CD207B">
        <w:rPr>
          <w:rFonts w:ascii="Open Sans Light" w:hAnsi="Open Sans Light" w:cs="Open Sans Light"/>
          <w:b/>
          <w:bCs/>
        </w:rPr>
        <w:t xml:space="preserve">DNSH (Do No </w:t>
      </w:r>
      <w:proofErr w:type="spellStart"/>
      <w:r w:rsidRPr="00CD207B">
        <w:rPr>
          <w:rFonts w:ascii="Open Sans Light" w:hAnsi="Open Sans Light" w:cs="Open Sans Light"/>
          <w:b/>
          <w:bCs/>
        </w:rPr>
        <w:t>Significant</w:t>
      </w:r>
      <w:proofErr w:type="spellEnd"/>
      <w:r w:rsidRPr="00CD207B">
        <w:rPr>
          <w:rFonts w:ascii="Open Sans Light" w:hAnsi="Open Sans Light" w:cs="Open Sans Light"/>
          <w:b/>
          <w:bCs/>
        </w:rPr>
        <w:t xml:space="preserve"> </w:t>
      </w:r>
      <w:proofErr w:type="spellStart"/>
      <w:r w:rsidRPr="00CD207B">
        <w:rPr>
          <w:rFonts w:ascii="Open Sans Light" w:hAnsi="Open Sans Light" w:cs="Open Sans Light"/>
          <w:b/>
          <w:bCs/>
        </w:rPr>
        <w:t>Harm</w:t>
      </w:r>
      <w:proofErr w:type="spellEnd"/>
      <w:r w:rsidRPr="00CD207B">
        <w:rPr>
          <w:rFonts w:ascii="Open Sans Light" w:hAnsi="Open Sans Light" w:cs="Open Sans Light"/>
          <w:b/>
          <w:bCs/>
        </w:rPr>
        <w:t>)</w:t>
      </w:r>
      <w:r>
        <w:rPr>
          <w:rFonts w:ascii="Open Sans Light" w:hAnsi="Open Sans Light" w:cs="Open Sans Light"/>
        </w:rPr>
        <w:t xml:space="preserve"> nelle</w:t>
      </w:r>
      <w:r w:rsidRPr="00CD207B">
        <w:rPr>
          <w:rFonts w:ascii="Open Sans Light" w:hAnsi="Open Sans Light" w:cs="Open Sans Light"/>
        </w:rPr>
        <w:t xml:space="preserve"> operazioni</w:t>
      </w:r>
      <w:r>
        <w:rPr>
          <w:rFonts w:ascii="Open Sans Light" w:hAnsi="Open Sans Light" w:cs="Open Sans Light"/>
        </w:rPr>
        <w:t xml:space="preserve"> che ricadono sotto la responsabilità del </w:t>
      </w:r>
      <w:r w:rsidRPr="003D6611">
        <w:rPr>
          <w:rFonts w:ascii="Open Sans Light" w:hAnsi="Open Sans Light" w:cs="Open Sans Light"/>
          <w:b/>
          <w:bCs/>
        </w:rPr>
        <w:t>Ministero d</w:t>
      </w:r>
      <w:r w:rsidR="00D37AAD">
        <w:rPr>
          <w:rFonts w:ascii="Open Sans Light" w:hAnsi="Open Sans Light" w:cs="Open Sans Light"/>
          <w:b/>
          <w:bCs/>
        </w:rPr>
        <w:t>ella Giustizia</w:t>
      </w:r>
      <w:r>
        <w:rPr>
          <w:rFonts w:ascii="Open Sans Light" w:hAnsi="Open Sans Light" w:cs="Open Sans Light"/>
          <w:b/>
          <w:bCs/>
        </w:rPr>
        <w:t>,</w:t>
      </w:r>
      <w:r w:rsidRPr="00CD207B">
        <w:rPr>
          <w:rFonts w:ascii="Open Sans Light" w:hAnsi="Open Sans Light" w:cs="Open Sans Light"/>
        </w:rPr>
        <w:t xml:space="preserve"> finanziate dal Piano nazionale per la ripresa e la resilienza (PNRR). Lo scopo principale è di garantire una metodologia univoca e trasparente nelle procedure e negli strumenti adottati, in conformità a quanto riportato nell</w:t>
      </w:r>
      <w:r>
        <w:rPr>
          <w:rFonts w:ascii="Open Sans Light" w:hAnsi="Open Sans Light" w:cs="Open Sans Light"/>
        </w:rPr>
        <w:t>a normativa comunitaria e</w:t>
      </w:r>
      <w:r w:rsidRPr="00CD207B">
        <w:rPr>
          <w:rFonts w:ascii="Open Sans Light" w:hAnsi="Open Sans Light" w:cs="Open Sans Light"/>
        </w:rPr>
        <w:t xml:space="preserve"> </w:t>
      </w:r>
      <w:r>
        <w:rPr>
          <w:rFonts w:ascii="Open Sans Light" w:hAnsi="Open Sans Light" w:cs="Open Sans Light"/>
        </w:rPr>
        <w:t xml:space="preserve">nella </w:t>
      </w:r>
      <w:r w:rsidRPr="00CD207B">
        <w:rPr>
          <w:rFonts w:ascii="Open Sans Light" w:hAnsi="Open Sans Light" w:cs="Open Sans Light"/>
        </w:rPr>
        <w:t>Guida Operativa</w:t>
      </w:r>
      <w:r>
        <w:rPr>
          <w:rFonts w:ascii="Open Sans Light" w:hAnsi="Open Sans Light" w:cs="Open Sans Light"/>
        </w:rPr>
        <w:t xml:space="preserve"> del MEF</w:t>
      </w:r>
      <w:r w:rsidRPr="00CD207B">
        <w:rPr>
          <w:rFonts w:ascii="Open Sans Light" w:hAnsi="Open Sans Light" w:cs="Open Sans Light"/>
        </w:rPr>
        <w:t>.</w:t>
      </w:r>
    </w:p>
    <w:p w14:paraId="444C0B32" w14:textId="14812257" w:rsidR="00F41EA4" w:rsidRPr="00511A94" w:rsidRDefault="00F41EA4" w:rsidP="00CD207B">
      <w:pPr>
        <w:ind w:left="412" w:firstLine="0"/>
        <w:rPr>
          <w:rFonts w:ascii="Open Sans Light" w:hAnsi="Open Sans Light" w:cs="Open Sans Light"/>
          <w:b/>
          <w:bCs/>
        </w:rPr>
      </w:pPr>
      <w:r>
        <w:rPr>
          <w:rFonts w:ascii="Open Sans Light" w:hAnsi="Open Sans Light" w:cs="Open Sans Light"/>
        </w:rPr>
        <w:t xml:space="preserve">Dopo aver inquadrato il principio DNSH dal punto di vista normativo ed operativo, il documento mira a fornire </w:t>
      </w:r>
      <w:r w:rsidRPr="00F970ED">
        <w:rPr>
          <w:rFonts w:ascii="Open Sans Light" w:hAnsi="Open Sans Light" w:cs="Open Sans Light"/>
          <w:b/>
          <w:bCs/>
        </w:rPr>
        <w:t>indicazioni operative</w:t>
      </w:r>
      <w:r>
        <w:rPr>
          <w:rFonts w:ascii="Open Sans Light" w:hAnsi="Open Sans Light" w:cs="Open Sans Light"/>
        </w:rPr>
        <w:t xml:space="preserve"> per l’attuazione </w:t>
      </w:r>
      <w:r w:rsidR="00F970ED">
        <w:rPr>
          <w:rFonts w:ascii="Open Sans Light" w:hAnsi="Open Sans Light" w:cs="Open Sans Light"/>
        </w:rPr>
        <w:t xml:space="preserve">e verifica del DNSH </w:t>
      </w:r>
      <w:r w:rsidRPr="00186978">
        <w:rPr>
          <w:rFonts w:ascii="Open Sans Light" w:hAnsi="Open Sans Light" w:cs="Open Sans Light"/>
        </w:rPr>
        <w:t>specifiche per la</w:t>
      </w:r>
      <w:r w:rsidRPr="00186978">
        <w:rPr>
          <w:rFonts w:ascii="Open Sans Light" w:hAnsi="Open Sans Light" w:cs="Open Sans Light"/>
          <w:b/>
          <w:bCs/>
        </w:rPr>
        <w:t xml:space="preserve"> Missione</w:t>
      </w:r>
      <w:r w:rsidRPr="00511A94">
        <w:rPr>
          <w:rFonts w:ascii="Open Sans Light" w:hAnsi="Open Sans Light" w:cs="Open Sans Light"/>
          <w:b/>
          <w:bCs/>
        </w:rPr>
        <w:t xml:space="preserve"> </w:t>
      </w:r>
      <w:r w:rsidR="002404E7" w:rsidRPr="00511A94">
        <w:rPr>
          <w:rFonts w:ascii="Open Sans Light" w:hAnsi="Open Sans Light" w:cs="Open Sans Light"/>
          <w:b/>
          <w:bCs/>
        </w:rPr>
        <w:t>2 C</w:t>
      </w:r>
      <w:r w:rsidR="00AF1FC5">
        <w:rPr>
          <w:rFonts w:ascii="Open Sans Light" w:hAnsi="Open Sans Light" w:cs="Open Sans Light"/>
          <w:b/>
          <w:bCs/>
        </w:rPr>
        <w:t xml:space="preserve">omponente </w:t>
      </w:r>
      <w:r w:rsidR="002404E7" w:rsidRPr="00511A94">
        <w:rPr>
          <w:rFonts w:ascii="Open Sans Light" w:hAnsi="Open Sans Light" w:cs="Open Sans Light"/>
          <w:b/>
          <w:bCs/>
        </w:rPr>
        <w:t>3</w:t>
      </w:r>
      <w:r w:rsidR="00F82610" w:rsidRPr="00511A94">
        <w:rPr>
          <w:rFonts w:ascii="Open Sans Light" w:hAnsi="Open Sans Light" w:cs="Open Sans Light"/>
          <w:b/>
          <w:bCs/>
        </w:rPr>
        <w:t xml:space="preserve"> - </w:t>
      </w:r>
      <w:bookmarkStart w:id="1" w:name="_Hlk145944190"/>
      <w:bookmarkStart w:id="2" w:name="_Hlk145946082"/>
      <w:r w:rsidR="000C452C" w:rsidRPr="00511A94">
        <w:rPr>
          <w:rFonts w:ascii="Open Sans Light" w:hAnsi="Open Sans Light" w:cs="Open Sans Light"/>
          <w:b/>
          <w:bCs/>
        </w:rPr>
        <w:t>I1.2 Costruzione</w:t>
      </w:r>
      <w:r w:rsidR="00054392">
        <w:rPr>
          <w:rFonts w:ascii="Open Sans Light" w:hAnsi="Open Sans Light" w:cs="Open Sans Light"/>
          <w:b/>
          <w:bCs/>
        </w:rPr>
        <w:t xml:space="preserve"> di edifici, riqualificazione e rafforzamento del patrimonio immobiliare dell’amministrazione della giustizia</w:t>
      </w:r>
      <w:bookmarkEnd w:id="1"/>
      <w:bookmarkEnd w:id="2"/>
      <w:r w:rsidRPr="00AF1FC5">
        <w:rPr>
          <w:rFonts w:ascii="Open Sans Light" w:hAnsi="Open Sans Light" w:cs="Open Sans Light"/>
        </w:rPr>
        <w:t>.</w:t>
      </w:r>
      <w:r w:rsidR="00AF1FC5">
        <w:rPr>
          <w:rFonts w:ascii="Open Sans Light" w:hAnsi="Open Sans Light" w:cs="Open Sans Light"/>
        </w:rPr>
        <w:t xml:space="preserve"> </w:t>
      </w:r>
    </w:p>
    <w:p w14:paraId="0332EF8E" w14:textId="7384ABB7" w:rsidR="00CD207B" w:rsidRPr="00CD207B" w:rsidRDefault="00CD207B" w:rsidP="00CD207B">
      <w:pPr>
        <w:ind w:left="412" w:firstLine="0"/>
        <w:rPr>
          <w:rFonts w:ascii="Open Sans Light" w:hAnsi="Open Sans Light" w:cs="Open Sans Light"/>
        </w:rPr>
      </w:pPr>
      <w:r>
        <w:rPr>
          <w:rFonts w:ascii="Open Sans Light" w:hAnsi="Open Sans Light" w:cs="Open Sans Light"/>
        </w:rPr>
        <w:t xml:space="preserve">Allo scopo di semplificare l’azione dell’Amministrazione e dei Soggetti Attuatori, il documento raccoglie </w:t>
      </w:r>
      <w:r w:rsidR="00CB0EC1">
        <w:rPr>
          <w:rFonts w:ascii="Open Sans Light" w:hAnsi="Open Sans Light" w:cs="Open Sans Light"/>
        </w:rPr>
        <w:t xml:space="preserve">in allegato </w:t>
      </w:r>
      <w:r>
        <w:rPr>
          <w:rFonts w:ascii="Open Sans Light" w:hAnsi="Open Sans Light" w:cs="Open Sans Light"/>
        </w:rPr>
        <w:t xml:space="preserve">gli </w:t>
      </w:r>
      <w:r w:rsidRPr="0043305E">
        <w:rPr>
          <w:rFonts w:ascii="Open Sans Light" w:hAnsi="Open Sans Light" w:cs="Open Sans Light"/>
          <w:b/>
          <w:bCs/>
        </w:rPr>
        <w:t>strumenti utili per la verifica DNSH</w:t>
      </w:r>
      <w:r>
        <w:rPr>
          <w:rFonts w:ascii="Open Sans Light" w:hAnsi="Open Sans Light" w:cs="Open Sans Light"/>
        </w:rPr>
        <w:t xml:space="preserve"> che vengono attivati </w:t>
      </w:r>
      <w:r w:rsidRPr="00AF1FC5">
        <w:rPr>
          <w:rFonts w:ascii="Open Sans Light" w:hAnsi="Open Sans Light" w:cs="Open Sans Light"/>
        </w:rPr>
        <w:t xml:space="preserve">per </w:t>
      </w:r>
      <w:r w:rsidR="00046434">
        <w:rPr>
          <w:rFonts w:ascii="Open Sans Light" w:hAnsi="Open Sans Light" w:cs="Open Sans Light"/>
        </w:rPr>
        <w:t>l’investimento specifico</w:t>
      </w:r>
      <w:r>
        <w:rPr>
          <w:rFonts w:ascii="Open Sans Light" w:hAnsi="Open Sans Light" w:cs="Open Sans Light"/>
        </w:rPr>
        <w:t>, sulla base della Guida del MEF: Schede di Autovalutazione, Schede Tecniche per la verifica, Check List.</w:t>
      </w:r>
    </w:p>
    <w:p w14:paraId="4BC75138" w14:textId="77777777" w:rsidR="00CD207B" w:rsidRPr="00CD207B" w:rsidRDefault="00CD207B" w:rsidP="00CD207B"/>
    <w:p w14:paraId="18D109C2" w14:textId="6F899449" w:rsidR="004768DE" w:rsidRPr="0081026F" w:rsidRDefault="00DF6A3A" w:rsidP="0074570D">
      <w:pPr>
        <w:pStyle w:val="Titolo1"/>
        <w:numPr>
          <w:ilvl w:val="0"/>
          <w:numId w:val="8"/>
        </w:numPr>
        <w:rPr>
          <w:rFonts w:asciiTheme="minorHAnsi" w:hAnsiTheme="minorHAnsi" w:cstheme="minorHAnsi"/>
        </w:rPr>
      </w:pPr>
      <w:bookmarkStart w:id="3" w:name="_Toc152582339"/>
      <w:r w:rsidRPr="0081026F">
        <w:rPr>
          <w:rFonts w:asciiTheme="minorHAnsi" w:hAnsiTheme="minorHAnsi" w:cstheme="minorHAnsi"/>
          <w:b/>
          <w:u w:val="none"/>
        </w:rPr>
        <w:t>Inquadramento del contesto programmatico e normativo</w:t>
      </w:r>
      <w:bookmarkEnd w:id="3"/>
      <w:r w:rsidRPr="0081026F">
        <w:rPr>
          <w:rFonts w:asciiTheme="minorHAnsi" w:hAnsiTheme="minorHAnsi" w:cstheme="minorHAnsi"/>
          <w:b/>
          <w:u w:val="none"/>
        </w:rPr>
        <w:t xml:space="preserve"> </w:t>
      </w:r>
    </w:p>
    <w:p w14:paraId="3D2CEEE6" w14:textId="68831FFA" w:rsidR="00005C36" w:rsidRPr="008154B4" w:rsidRDefault="00005C36" w:rsidP="003D6611">
      <w:pPr>
        <w:ind w:left="412" w:firstLine="0"/>
        <w:rPr>
          <w:rFonts w:ascii="Open Sans Light" w:hAnsi="Open Sans Light" w:cs="Open Sans Light"/>
        </w:rPr>
      </w:pPr>
      <w:r w:rsidRPr="008154B4">
        <w:rPr>
          <w:rFonts w:ascii="Open Sans Light" w:hAnsi="Open Sans Light" w:cs="Open Sans Light"/>
        </w:rPr>
        <w:t xml:space="preserve">Con decisione del Consiglio ECOFIN del 13 luglio 2021, notificata all’Italia dal Segretariato generale del Consiglio con nota LT161/21 del 14 luglio 2021, è stato approvato il Piano Nazionale per la </w:t>
      </w:r>
      <w:r w:rsidR="008C3A94">
        <w:rPr>
          <w:rFonts w:ascii="Open Sans Light" w:hAnsi="Open Sans Light" w:cs="Open Sans Light"/>
        </w:rPr>
        <w:t>R</w:t>
      </w:r>
      <w:r w:rsidRPr="008154B4">
        <w:rPr>
          <w:rFonts w:ascii="Open Sans Light" w:hAnsi="Open Sans Light" w:cs="Open Sans Light"/>
        </w:rPr>
        <w:t xml:space="preserve">ipresa e la </w:t>
      </w:r>
      <w:r w:rsidR="008C3A94">
        <w:rPr>
          <w:rFonts w:ascii="Open Sans Light" w:hAnsi="Open Sans Light" w:cs="Open Sans Light"/>
        </w:rPr>
        <w:t>R</w:t>
      </w:r>
      <w:r w:rsidRPr="008154B4">
        <w:rPr>
          <w:rFonts w:ascii="Open Sans Light" w:hAnsi="Open Sans Light" w:cs="Open Sans Light"/>
        </w:rPr>
        <w:t>esilienza (PNRR).</w:t>
      </w:r>
    </w:p>
    <w:p w14:paraId="7FD5CCEF" w14:textId="5B80172F" w:rsidR="00005C36" w:rsidRPr="008154B4" w:rsidRDefault="00251E7B" w:rsidP="003D6611">
      <w:pPr>
        <w:ind w:left="412" w:firstLine="0"/>
        <w:rPr>
          <w:rFonts w:ascii="Open Sans Light" w:hAnsi="Open Sans Light" w:cs="Open Sans Light"/>
        </w:rPr>
      </w:pPr>
      <w:r>
        <w:rPr>
          <w:rFonts w:ascii="Open Sans Light" w:hAnsi="Open Sans Light" w:cs="Open Sans Light"/>
        </w:rPr>
        <w:t xml:space="preserve">Il </w:t>
      </w:r>
      <w:r w:rsidR="00005C36" w:rsidRPr="008154B4">
        <w:rPr>
          <w:rFonts w:ascii="Open Sans Light" w:hAnsi="Open Sans Light" w:cs="Open Sans Light"/>
        </w:rPr>
        <w:t xml:space="preserve">presente </w:t>
      </w:r>
      <w:r>
        <w:rPr>
          <w:rFonts w:ascii="Open Sans Light" w:hAnsi="Open Sans Light" w:cs="Open Sans Light"/>
        </w:rPr>
        <w:t>Allegato</w:t>
      </w:r>
      <w:r w:rsidR="00005C36" w:rsidRPr="008154B4">
        <w:rPr>
          <w:rFonts w:ascii="Open Sans Light" w:hAnsi="Open Sans Light" w:cs="Open Sans Light"/>
        </w:rPr>
        <w:t xml:space="preserve"> è volt</w:t>
      </w:r>
      <w:r>
        <w:rPr>
          <w:rFonts w:ascii="Open Sans Light" w:hAnsi="Open Sans Light" w:cs="Open Sans Light"/>
        </w:rPr>
        <w:t>o</w:t>
      </w:r>
      <w:r w:rsidR="00005C36" w:rsidRPr="008154B4">
        <w:rPr>
          <w:rFonts w:ascii="Open Sans Light" w:hAnsi="Open Sans Light" w:cs="Open Sans Light"/>
        </w:rPr>
        <w:t xml:space="preserve"> a fornire specifiche indicazioni operative tese a indirizzare la </w:t>
      </w:r>
      <w:r w:rsidR="00005C36" w:rsidRPr="00CB7CFE">
        <w:rPr>
          <w:rFonts w:ascii="Open Sans Light" w:hAnsi="Open Sans Light" w:cs="Open Sans Light"/>
        </w:rPr>
        <w:t xml:space="preserve">realizzazione </w:t>
      </w:r>
      <w:r w:rsidR="001D5663">
        <w:rPr>
          <w:rFonts w:ascii="Open Sans Light" w:hAnsi="Open Sans Light" w:cs="Open Sans Light"/>
        </w:rPr>
        <w:t>dell’</w:t>
      </w:r>
      <w:r w:rsidR="001D5663" w:rsidRPr="005A3B17">
        <w:rPr>
          <w:rFonts w:ascii="Open Sans Light" w:hAnsi="Open Sans Light" w:cs="Open Sans Light"/>
          <w:b/>
          <w:bCs/>
        </w:rPr>
        <w:t>Investimento</w:t>
      </w:r>
      <w:r w:rsidR="00005C36" w:rsidRPr="003D6611">
        <w:rPr>
          <w:rFonts w:ascii="Open Sans Light" w:hAnsi="Open Sans Light" w:cs="Open Sans Light"/>
          <w:b/>
          <w:bCs/>
        </w:rPr>
        <w:t xml:space="preserve"> </w:t>
      </w:r>
      <w:r w:rsidR="00AC12F9" w:rsidRPr="003D6611">
        <w:rPr>
          <w:rFonts w:ascii="Open Sans Light" w:hAnsi="Open Sans Light" w:cs="Open Sans Light"/>
          <w:b/>
          <w:bCs/>
        </w:rPr>
        <w:t xml:space="preserve">in capo al </w:t>
      </w:r>
      <w:r w:rsidR="00D61793">
        <w:rPr>
          <w:rFonts w:ascii="Open Sans Light" w:hAnsi="Open Sans Light" w:cs="Open Sans Light"/>
          <w:b/>
          <w:bCs/>
        </w:rPr>
        <w:t>Ministero del</w:t>
      </w:r>
      <w:r w:rsidR="003D62C9">
        <w:rPr>
          <w:rFonts w:ascii="Open Sans Light" w:hAnsi="Open Sans Light" w:cs="Open Sans Light"/>
          <w:b/>
          <w:bCs/>
        </w:rPr>
        <w:t>la Giustizia</w:t>
      </w:r>
      <w:r w:rsidR="00AC12F9" w:rsidRPr="003D6611">
        <w:rPr>
          <w:rFonts w:ascii="Open Sans Light" w:hAnsi="Open Sans Light" w:cs="Open Sans Light"/>
        </w:rPr>
        <w:t xml:space="preserve">, </w:t>
      </w:r>
      <w:r w:rsidR="00005C36" w:rsidRPr="00CB7CFE">
        <w:rPr>
          <w:rFonts w:ascii="Open Sans Light" w:hAnsi="Open Sans Light" w:cs="Open Sans Light"/>
        </w:rPr>
        <w:t>finanziat</w:t>
      </w:r>
      <w:r w:rsidR="008C3A94">
        <w:rPr>
          <w:rFonts w:ascii="Open Sans Light" w:hAnsi="Open Sans Light" w:cs="Open Sans Light"/>
        </w:rPr>
        <w:t>i</w:t>
      </w:r>
      <w:r w:rsidR="00005C36" w:rsidRPr="00CB7CFE">
        <w:rPr>
          <w:rFonts w:ascii="Open Sans Light" w:hAnsi="Open Sans Light" w:cs="Open Sans Light"/>
        </w:rPr>
        <w:t xml:space="preserve"> nell’ambito del PNRR e ricompres</w:t>
      </w:r>
      <w:r w:rsidR="00AC12F9">
        <w:rPr>
          <w:rFonts w:ascii="Open Sans Light" w:hAnsi="Open Sans Light" w:cs="Open Sans Light"/>
        </w:rPr>
        <w:t>i</w:t>
      </w:r>
      <w:r w:rsidR="00005C36" w:rsidRPr="00CB7CFE">
        <w:rPr>
          <w:rFonts w:ascii="Open Sans Light" w:hAnsi="Open Sans Light" w:cs="Open Sans Light"/>
        </w:rPr>
        <w:t xml:space="preserve"> nella </w:t>
      </w:r>
      <w:r w:rsidR="00005C36" w:rsidRPr="003D6611">
        <w:rPr>
          <w:rFonts w:ascii="Open Sans Light" w:hAnsi="Open Sans Light" w:cs="Open Sans Light"/>
          <w:b/>
          <w:bCs/>
        </w:rPr>
        <w:t>M</w:t>
      </w:r>
      <w:r w:rsidR="003D62C9">
        <w:rPr>
          <w:rFonts w:ascii="Open Sans Light" w:hAnsi="Open Sans Light" w:cs="Open Sans Light"/>
          <w:b/>
          <w:bCs/>
        </w:rPr>
        <w:t>2</w:t>
      </w:r>
      <w:r w:rsidR="00853434">
        <w:rPr>
          <w:rFonts w:ascii="Open Sans Light" w:hAnsi="Open Sans Light" w:cs="Open Sans Light"/>
          <w:b/>
          <w:bCs/>
        </w:rPr>
        <w:t>C3</w:t>
      </w:r>
      <w:r w:rsidR="00005C36" w:rsidRPr="003D6611">
        <w:rPr>
          <w:rFonts w:ascii="Open Sans Light" w:hAnsi="Open Sans Light" w:cs="Open Sans Light"/>
          <w:b/>
          <w:bCs/>
        </w:rPr>
        <w:t xml:space="preserve"> </w:t>
      </w:r>
      <w:r w:rsidR="00853434" w:rsidRPr="00853434">
        <w:rPr>
          <w:rFonts w:ascii="Open Sans Light" w:hAnsi="Open Sans Light" w:cs="Open Sans Light"/>
          <w:b/>
          <w:bCs/>
        </w:rPr>
        <w:t xml:space="preserve">I1.2 </w:t>
      </w:r>
      <w:r w:rsidR="00B32FBD">
        <w:rPr>
          <w:rFonts w:ascii="Open Sans Light" w:hAnsi="Open Sans Light" w:cs="Open Sans Light"/>
          <w:b/>
          <w:bCs/>
        </w:rPr>
        <w:t>“</w:t>
      </w:r>
      <w:r w:rsidR="00853434" w:rsidRPr="00853434">
        <w:rPr>
          <w:rFonts w:ascii="Open Sans Light" w:hAnsi="Open Sans Light" w:cs="Open Sans Light"/>
          <w:b/>
          <w:bCs/>
        </w:rPr>
        <w:t>Costruzione di edifici, riqualificazione e rafforzamento del patrimonio immobiliare dell’amministrazione della giustizia</w:t>
      </w:r>
      <w:r w:rsidR="00B32FBD">
        <w:rPr>
          <w:rFonts w:ascii="Open Sans Light" w:hAnsi="Open Sans Light" w:cs="Open Sans Light"/>
          <w:b/>
          <w:bCs/>
        </w:rPr>
        <w:t xml:space="preserve"> </w:t>
      </w:r>
      <w:r w:rsidR="00005C36">
        <w:rPr>
          <w:rFonts w:ascii="Open Sans Light" w:hAnsi="Open Sans Light" w:cs="Open Sans Light"/>
        </w:rPr>
        <w:t xml:space="preserve">nel rispetto del principio del DNSH (Do </w:t>
      </w:r>
      <w:r w:rsidR="007F233C">
        <w:rPr>
          <w:rFonts w:ascii="Open Sans Light" w:hAnsi="Open Sans Light" w:cs="Open Sans Light"/>
        </w:rPr>
        <w:t>N</w:t>
      </w:r>
      <w:r w:rsidR="00005C36">
        <w:rPr>
          <w:rFonts w:ascii="Open Sans Light" w:hAnsi="Open Sans Light" w:cs="Open Sans Light"/>
        </w:rPr>
        <w:t xml:space="preserve">o </w:t>
      </w:r>
      <w:proofErr w:type="spellStart"/>
      <w:r w:rsidR="00A36B4F">
        <w:rPr>
          <w:rFonts w:ascii="Open Sans Light" w:hAnsi="Open Sans Light" w:cs="Open Sans Light"/>
        </w:rPr>
        <w:t>S</w:t>
      </w:r>
      <w:r w:rsidR="00005C36">
        <w:rPr>
          <w:rFonts w:ascii="Open Sans Light" w:hAnsi="Open Sans Light" w:cs="Open Sans Light"/>
        </w:rPr>
        <w:t>ignificant</w:t>
      </w:r>
      <w:proofErr w:type="spellEnd"/>
      <w:r w:rsidR="00005C36">
        <w:rPr>
          <w:rFonts w:ascii="Open Sans Light" w:hAnsi="Open Sans Light" w:cs="Open Sans Light"/>
        </w:rPr>
        <w:t xml:space="preserve"> </w:t>
      </w:r>
      <w:proofErr w:type="spellStart"/>
      <w:r w:rsidR="00A36B4F">
        <w:rPr>
          <w:rFonts w:ascii="Open Sans Light" w:hAnsi="Open Sans Light" w:cs="Open Sans Light"/>
        </w:rPr>
        <w:t>H</w:t>
      </w:r>
      <w:r w:rsidR="00005C36">
        <w:rPr>
          <w:rFonts w:ascii="Open Sans Light" w:hAnsi="Open Sans Light" w:cs="Open Sans Light"/>
        </w:rPr>
        <w:t>arm</w:t>
      </w:r>
      <w:proofErr w:type="spellEnd"/>
      <w:r w:rsidR="00005C36">
        <w:rPr>
          <w:rFonts w:ascii="Open Sans Light" w:hAnsi="Open Sans Light" w:cs="Open Sans Light"/>
        </w:rPr>
        <w:t xml:space="preserve">). </w:t>
      </w:r>
    </w:p>
    <w:p w14:paraId="4823F5CB" w14:textId="322DFBAC" w:rsidR="00005C36" w:rsidRPr="008154B4" w:rsidRDefault="00005C36" w:rsidP="003D6611">
      <w:pPr>
        <w:ind w:left="412" w:firstLine="0"/>
        <w:rPr>
          <w:rFonts w:ascii="Open Sans Light" w:hAnsi="Open Sans Light" w:cs="Open Sans Light"/>
        </w:rPr>
      </w:pPr>
      <w:r w:rsidRPr="008154B4">
        <w:rPr>
          <w:rFonts w:ascii="Open Sans Light" w:hAnsi="Open Sans Light" w:cs="Open Sans Light"/>
        </w:rPr>
        <w:t xml:space="preserve">Le indicazioni contenute </w:t>
      </w:r>
      <w:r w:rsidR="00224EF2">
        <w:rPr>
          <w:rFonts w:ascii="Open Sans Light" w:hAnsi="Open Sans Light" w:cs="Open Sans Light"/>
        </w:rPr>
        <w:t xml:space="preserve">nel presente allegato </w:t>
      </w:r>
      <w:r w:rsidRPr="008154B4">
        <w:rPr>
          <w:rFonts w:ascii="Open Sans Light" w:hAnsi="Open Sans Light" w:cs="Open Sans Light"/>
        </w:rPr>
        <w:t>derivano dal combinato disposto di atti legislativi e indicazioni derivanti da ulteriori documenti di riferimento di seguito elencati:</w:t>
      </w:r>
    </w:p>
    <w:p w14:paraId="26994816" w14:textId="77777777" w:rsidR="00005C36" w:rsidRPr="008154B4" w:rsidRDefault="00005C36" w:rsidP="0050687D">
      <w:pPr>
        <w:pStyle w:val="Paragrafoelenco"/>
        <w:numPr>
          <w:ilvl w:val="0"/>
          <w:numId w:val="7"/>
        </w:numPr>
        <w:spacing w:after="160" w:line="276" w:lineRule="auto"/>
        <w:ind w:left="811" w:right="454" w:hanging="357"/>
        <w:rPr>
          <w:rFonts w:ascii="Open Sans Light" w:hAnsi="Open Sans Light" w:cs="Open Sans Light"/>
        </w:rPr>
      </w:pPr>
      <w:r w:rsidRPr="008154B4">
        <w:rPr>
          <w:rFonts w:ascii="Open Sans Light" w:hAnsi="Open Sans Light" w:cs="Open Sans Light"/>
        </w:rPr>
        <w:t xml:space="preserve">Regolamento (UE) 2021/241 che istituisce il Dispositivo di Ripresa e Resilienza (Regolamento RRF); </w:t>
      </w:r>
    </w:p>
    <w:p w14:paraId="616F3793" w14:textId="77777777" w:rsidR="00005C36" w:rsidRPr="008154B4" w:rsidRDefault="00005C36" w:rsidP="0050687D">
      <w:pPr>
        <w:pStyle w:val="Paragrafoelenco"/>
        <w:numPr>
          <w:ilvl w:val="0"/>
          <w:numId w:val="7"/>
        </w:numPr>
        <w:spacing w:after="160" w:line="276" w:lineRule="auto"/>
        <w:ind w:left="811" w:right="454" w:hanging="357"/>
        <w:rPr>
          <w:rFonts w:ascii="Open Sans Light" w:hAnsi="Open Sans Light" w:cs="Open Sans Light"/>
        </w:rPr>
      </w:pPr>
      <w:r w:rsidRPr="008154B4">
        <w:rPr>
          <w:rFonts w:ascii="Open Sans Light" w:hAnsi="Open Sans Light" w:cs="Open Sans Light"/>
        </w:rPr>
        <w:t xml:space="preserve">Regolamento (UE) 2020/852 (Regolamento Tassonomia) relativo all’istituzione di un quadro che favorisce gli investimenti sostenibili, come integrato dal Regolamento Delegato (UE) 2021/2139 e ulteriori futuri atti delegati di definizione dei criteri di vaglio tecnico; </w:t>
      </w:r>
    </w:p>
    <w:p w14:paraId="02B3FC77" w14:textId="77777777" w:rsidR="00005C36" w:rsidRPr="008154B4" w:rsidRDefault="00005C36" w:rsidP="0050687D">
      <w:pPr>
        <w:pStyle w:val="Paragrafoelenco"/>
        <w:numPr>
          <w:ilvl w:val="0"/>
          <w:numId w:val="7"/>
        </w:numPr>
        <w:spacing w:after="160" w:line="276" w:lineRule="auto"/>
        <w:ind w:left="811" w:right="454" w:hanging="357"/>
        <w:rPr>
          <w:rFonts w:ascii="Open Sans Light" w:hAnsi="Open Sans Light" w:cs="Open Sans Light"/>
        </w:rPr>
      </w:pPr>
      <w:r w:rsidRPr="008154B4">
        <w:rPr>
          <w:rFonts w:ascii="Open Sans Light" w:hAnsi="Open Sans Light" w:cs="Open Sans Light"/>
        </w:rPr>
        <w:t xml:space="preserve">Regolamento (UE) 2021/523 che istituisce il programma </w:t>
      </w:r>
      <w:proofErr w:type="spellStart"/>
      <w:r w:rsidRPr="008154B4">
        <w:rPr>
          <w:rFonts w:ascii="Open Sans Light" w:hAnsi="Open Sans Light" w:cs="Open Sans Light"/>
        </w:rPr>
        <w:t>InvestEU</w:t>
      </w:r>
      <w:proofErr w:type="spellEnd"/>
      <w:r w:rsidRPr="008154B4">
        <w:rPr>
          <w:rFonts w:ascii="Open Sans Light" w:hAnsi="Open Sans Light" w:cs="Open Sans Light"/>
        </w:rPr>
        <w:t xml:space="preserve"> e che modifica il Regolamento (UE) 2015/1017 (Regolamento </w:t>
      </w:r>
      <w:proofErr w:type="spellStart"/>
      <w:r w:rsidRPr="008154B4">
        <w:rPr>
          <w:rFonts w:ascii="Open Sans Light" w:hAnsi="Open Sans Light" w:cs="Open Sans Light"/>
        </w:rPr>
        <w:t>InvestEU</w:t>
      </w:r>
      <w:proofErr w:type="spellEnd"/>
      <w:r w:rsidRPr="008154B4">
        <w:rPr>
          <w:rFonts w:ascii="Open Sans Light" w:hAnsi="Open Sans Light" w:cs="Open Sans Light"/>
        </w:rPr>
        <w:t xml:space="preserve">); </w:t>
      </w:r>
    </w:p>
    <w:p w14:paraId="4DE91096" w14:textId="77777777" w:rsidR="00005C36" w:rsidRPr="008154B4" w:rsidRDefault="00005C36" w:rsidP="0050687D">
      <w:pPr>
        <w:pStyle w:val="Paragrafoelenco"/>
        <w:numPr>
          <w:ilvl w:val="0"/>
          <w:numId w:val="7"/>
        </w:numPr>
        <w:spacing w:after="160" w:line="276" w:lineRule="auto"/>
        <w:ind w:left="811" w:right="454" w:hanging="357"/>
        <w:rPr>
          <w:rFonts w:ascii="Open Sans Light" w:hAnsi="Open Sans Light" w:cs="Open Sans Light"/>
        </w:rPr>
      </w:pPr>
      <w:r w:rsidRPr="008154B4">
        <w:rPr>
          <w:rFonts w:ascii="Open Sans Light" w:hAnsi="Open Sans Light" w:cs="Open Sans Light"/>
        </w:rPr>
        <w:lastRenderedPageBreak/>
        <w:t>Comunicazione della Commissione europea 2021/C 58/01 del 18 febbraio 2021, relativa a “</w:t>
      </w:r>
      <w:r w:rsidRPr="008154B4">
        <w:rPr>
          <w:rFonts w:ascii="Open Sans Light" w:hAnsi="Open Sans Light" w:cs="Open Sans Light"/>
          <w:i/>
        </w:rPr>
        <w:t xml:space="preserve">Orientamenti tecnici sull’applicazione del principio </w:t>
      </w:r>
      <w:r w:rsidRPr="008154B4">
        <w:rPr>
          <w:rFonts w:ascii="Open Sans Light" w:hAnsi="Open Sans Light" w:cs="Open Sans Light"/>
          <w:i/>
          <w:iCs/>
        </w:rPr>
        <w:t>«non arrecare un danno significativo</w:t>
      </w:r>
      <w:r w:rsidRPr="008154B4">
        <w:rPr>
          <w:rFonts w:ascii="Open Sans Light" w:hAnsi="Open Sans Light" w:cs="Open Sans Light"/>
          <w:b/>
          <w:bCs/>
          <w:i/>
          <w:iCs/>
        </w:rPr>
        <w:t>»</w:t>
      </w:r>
      <w:r w:rsidRPr="008154B4">
        <w:rPr>
          <w:rFonts w:ascii="Open Sans Light" w:hAnsi="Open Sans Light" w:cs="Open Sans Light"/>
          <w:i/>
        </w:rPr>
        <w:t xml:space="preserve"> a norma del regolamento sul dispositivo per la ripresa e la resilienza”</w:t>
      </w:r>
      <w:r w:rsidRPr="008154B4">
        <w:rPr>
          <w:rFonts w:ascii="Open Sans Light" w:hAnsi="Open Sans Light" w:cs="Open Sans Light"/>
          <w:iCs/>
        </w:rPr>
        <w:t>;</w:t>
      </w:r>
    </w:p>
    <w:p w14:paraId="012E1C8C" w14:textId="77777777" w:rsidR="00005C36" w:rsidRDefault="00005C36" w:rsidP="0050687D">
      <w:pPr>
        <w:pStyle w:val="Paragrafoelenco"/>
        <w:numPr>
          <w:ilvl w:val="0"/>
          <w:numId w:val="7"/>
        </w:numPr>
        <w:spacing w:after="160" w:line="276" w:lineRule="auto"/>
        <w:ind w:left="811" w:right="454" w:hanging="357"/>
        <w:rPr>
          <w:rFonts w:ascii="Open Sans Light" w:hAnsi="Open Sans Light" w:cs="Open Sans Light"/>
        </w:rPr>
      </w:pPr>
      <w:r w:rsidRPr="008154B4">
        <w:rPr>
          <w:rFonts w:ascii="Open Sans Light" w:hAnsi="Open Sans Light" w:cs="Open Sans Light"/>
        </w:rPr>
        <w:t xml:space="preserve">Decisione di esecuzione del Consiglio 10160/21 del 6 luglio 2021 relativa all’approvazione della valutazione del Piano per la ripresa e la resilienza dell’Italia e allegato riveduto; </w:t>
      </w:r>
    </w:p>
    <w:p w14:paraId="41AB9F0C" w14:textId="3FA9FEAE" w:rsidR="007A18FF" w:rsidRDefault="007A18FF" w:rsidP="007A18FF">
      <w:pPr>
        <w:pStyle w:val="Paragrafoelenco"/>
        <w:numPr>
          <w:ilvl w:val="0"/>
          <w:numId w:val="7"/>
        </w:numPr>
        <w:spacing w:after="160" w:line="276" w:lineRule="auto"/>
        <w:ind w:left="811" w:right="454" w:hanging="357"/>
        <w:rPr>
          <w:rFonts w:ascii="Open Sans Light" w:hAnsi="Open Sans Light" w:cs="Open Sans Light"/>
        </w:rPr>
      </w:pPr>
      <w:r>
        <w:rPr>
          <w:rFonts w:ascii="Open Sans Light" w:hAnsi="Open Sans Light" w:cs="Open Sans Light"/>
        </w:rPr>
        <w:t>CAM “</w:t>
      </w:r>
      <w:r w:rsidRPr="00BA473A">
        <w:rPr>
          <w:rFonts w:ascii="Open Sans Light" w:hAnsi="Open Sans Light" w:cs="Open Sans Light"/>
        </w:rPr>
        <w:t>Fornitura, servizio di noleggio e servizio di estensione della vita utile di arredi per interni</w:t>
      </w:r>
      <w:r>
        <w:rPr>
          <w:rFonts w:ascii="Open Sans Light" w:hAnsi="Open Sans Light" w:cs="Open Sans Light"/>
        </w:rPr>
        <w:t>”</w:t>
      </w:r>
      <w:r w:rsidRPr="00BA473A">
        <w:rPr>
          <w:rFonts w:ascii="Open Sans Light" w:hAnsi="Open Sans Light" w:cs="Open Sans Light"/>
        </w:rPr>
        <w:t xml:space="preserve"> (approvato con DM 23 </w:t>
      </w:r>
      <w:r w:rsidR="009A1EF2" w:rsidRPr="00BA473A">
        <w:rPr>
          <w:rFonts w:ascii="Open Sans Light" w:hAnsi="Open Sans Light" w:cs="Open Sans Light"/>
        </w:rPr>
        <w:t>giugno</w:t>
      </w:r>
      <w:r w:rsidRPr="00BA473A">
        <w:rPr>
          <w:rFonts w:ascii="Open Sans Light" w:hAnsi="Open Sans Light" w:cs="Open Sans Light"/>
        </w:rPr>
        <w:t xml:space="preserve"> 2022 n. 254, GURI n. 184 del 8 dicembre 2022 – in vigore dal 6 dicembre 2022)</w:t>
      </w:r>
      <w:r>
        <w:rPr>
          <w:rFonts w:ascii="Open Sans Light" w:hAnsi="Open Sans Light" w:cs="Open Sans Light"/>
        </w:rPr>
        <w:t>;</w:t>
      </w:r>
    </w:p>
    <w:p w14:paraId="700171F6" w14:textId="72CDD549" w:rsidR="007A18FF" w:rsidRDefault="007A18FF" w:rsidP="007A18FF">
      <w:pPr>
        <w:pStyle w:val="Paragrafoelenco"/>
        <w:numPr>
          <w:ilvl w:val="0"/>
          <w:numId w:val="7"/>
        </w:numPr>
        <w:spacing w:after="160" w:line="276" w:lineRule="auto"/>
        <w:ind w:left="811" w:right="454" w:hanging="357"/>
        <w:rPr>
          <w:rFonts w:ascii="Open Sans Light" w:hAnsi="Open Sans Light" w:cs="Open Sans Light"/>
        </w:rPr>
      </w:pPr>
      <w:r>
        <w:rPr>
          <w:rFonts w:ascii="Open Sans Light" w:hAnsi="Open Sans Light" w:cs="Open Sans Light"/>
        </w:rPr>
        <w:t>CAM “</w:t>
      </w:r>
      <w:r w:rsidRPr="00AE1792">
        <w:rPr>
          <w:rFonts w:ascii="Open Sans Light" w:hAnsi="Open Sans Light" w:cs="Open Sans Light"/>
        </w:rPr>
        <w:t>Affidamento di servizi di progettazione e affidamento di lavori per interventi edilizi</w:t>
      </w:r>
      <w:r>
        <w:rPr>
          <w:rFonts w:ascii="Open Sans Light" w:hAnsi="Open Sans Light" w:cs="Open Sans Light"/>
        </w:rPr>
        <w:t>”</w:t>
      </w:r>
      <w:r w:rsidRPr="00AE1792">
        <w:rPr>
          <w:rFonts w:ascii="Open Sans Light" w:hAnsi="Open Sans Light" w:cs="Open Sans Light"/>
        </w:rPr>
        <w:t xml:space="preserve"> (approvato con DM 23 giugno 2022 n. 256, GURI n. 183 del 8 agosto 2022 - in vigore dal 4 dicembre 2022)</w:t>
      </w:r>
      <w:r>
        <w:rPr>
          <w:rFonts w:ascii="Open Sans Light" w:hAnsi="Open Sans Light" w:cs="Open Sans Light"/>
        </w:rPr>
        <w:t>;</w:t>
      </w:r>
    </w:p>
    <w:p w14:paraId="027DEC12" w14:textId="5D7C3C97" w:rsidR="007A18FF" w:rsidRDefault="007A18FF" w:rsidP="007A18FF">
      <w:pPr>
        <w:pStyle w:val="Paragrafoelenco"/>
        <w:numPr>
          <w:ilvl w:val="0"/>
          <w:numId w:val="7"/>
        </w:numPr>
        <w:spacing w:after="160" w:line="276" w:lineRule="auto"/>
        <w:ind w:left="811" w:right="454" w:hanging="357"/>
        <w:rPr>
          <w:rFonts w:ascii="Open Sans Light" w:hAnsi="Open Sans Light" w:cs="Open Sans Light"/>
        </w:rPr>
      </w:pPr>
      <w:r>
        <w:rPr>
          <w:rFonts w:ascii="Open Sans Light" w:hAnsi="Open Sans Light" w:cs="Open Sans Light"/>
        </w:rPr>
        <w:t>CAM “</w:t>
      </w:r>
      <w:r w:rsidRPr="00CE54CB">
        <w:rPr>
          <w:rFonts w:ascii="Open Sans Light" w:hAnsi="Open Sans Light" w:cs="Open Sans Light"/>
        </w:rPr>
        <w:t>Affidamento servizi energetici per gli edifici, servizio di illuminazione e forza motrice, servizio di riscaldamento/raffrescamento</w:t>
      </w:r>
      <w:r>
        <w:rPr>
          <w:rFonts w:ascii="Open Sans Light" w:hAnsi="Open Sans Light" w:cs="Open Sans Light"/>
        </w:rPr>
        <w:t>”</w:t>
      </w:r>
      <w:r w:rsidRPr="00CE54CB">
        <w:rPr>
          <w:rFonts w:ascii="Open Sans Light" w:hAnsi="Open Sans Light" w:cs="Open Sans Light"/>
        </w:rPr>
        <w:t xml:space="preserve"> (approvato con DM 7 marzo 2012, in G.U. n.74 del 28 marzo 2012)</w:t>
      </w:r>
      <w:r>
        <w:rPr>
          <w:rFonts w:ascii="Open Sans Light" w:hAnsi="Open Sans Light" w:cs="Open Sans Light"/>
        </w:rPr>
        <w:t>;</w:t>
      </w:r>
    </w:p>
    <w:p w14:paraId="33D63233" w14:textId="022D5C6E" w:rsidR="007A18FF" w:rsidRDefault="007A18FF" w:rsidP="007A18FF">
      <w:pPr>
        <w:pStyle w:val="Paragrafoelenco"/>
        <w:numPr>
          <w:ilvl w:val="0"/>
          <w:numId w:val="7"/>
        </w:numPr>
        <w:spacing w:after="160" w:line="276" w:lineRule="auto"/>
        <w:ind w:left="811" w:right="454" w:hanging="357"/>
        <w:rPr>
          <w:rFonts w:ascii="Open Sans Light" w:hAnsi="Open Sans Light" w:cs="Open Sans Light"/>
        </w:rPr>
      </w:pPr>
      <w:r>
        <w:rPr>
          <w:rFonts w:ascii="Open Sans Light" w:hAnsi="Open Sans Light" w:cs="Open Sans Light"/>
        </w:rPr>
        <w:t>CAM “</w:t>
      </w:r>
      <w:r w:rsidRPr="00860AB0">
        <w:rPr>
          <w:rFonts w:ascii="Open Sans Light" w:hAnsi="Open Sans Light" w:cs="Open Sans Light"/>
        </w:rPr>
        <w:t>Affidamento del servizio di stampa gestita, affidamento del servizio di noleggio di stampanti e di apparecchiature multifunzione per ufficio e acquisto o il leasing di stampanti e di apparecchiature multifunzione per ufficio</w:t>
      </w:r>
      <w:r>
        <w:rPr>
          <w:rFonts w:ascii="Open Sans Light" w:hAnsi="Open Sans Light" w:cs="Open Sans Light"/>
        </w:rPr>
        <w:t xml:space="preserve">” </w:t>
      </w:r>
      <w:r w:rsidRPr="00860AB0">
        <w:rPr>
          <w:rFonts w:ascii="Open Sans Light" w:hAnsi="Open Sans Light" w:cs="Open Sans Light"/>
        </w:rPr>
        <w:t>(approvato con DM 17 ottobre 2019, in G.U. n. 261 del 7 novembre 2019)</w:t>
      </w:r>
      <w:r>
        <w:rPr>
          <w:rFonts w:ascii="Open Sans Light" w:hAnsi="Open Sans Light" w:cs="Open Sans Light"/>
        </w:rPr>
        <w:t>;</w:t>
      </w:r>
    </w:p>
    <w:p w14:paraId="6109C700" w14:textId="75B9B38D" w:rsidR="00005C36" w:rsidRPr="008154B4" w:rsidRDefault="00F72E5A" w:rsidP="0050687D">
      <w:pPr>
        <w:pStyle w:val="Paragrafoelenco"/>
        <w:numPr>
          <w:ilvl w:val="0"/>
          <w:numId w:val="7"/>
        </w:numPr>
        <w:spacing w:after="160" w:line="276" w:lineRule="auto"/>
        <w:ind w:left="811" w:right="454" w:hanging="357"/>
        <w:rPr>
          <w:rFonts w:ascii="Open Sans Light" w:hAnsi="Open Sans Light" w:cs="Open Sans Light"/>
        </w:rPr>
      </w:pPr>
      <w:r w:rsidRPr="00F72E5A">
        <w:rPr>
          <w:rFonts w:ascii="Open Sans Light" w:hAnsi="Open Sans Light" w:cs="Open Sans Light"/>
        </w:rPr>
        <w:t>Schede di autovalutazione delle misure di riferimento</w:t>
      </w:r>
      <w:r w:rsidRPr="00F72E5A">
        <w:rPr>
          <w:rFonts w:ascii="Open Sans Light" w:hAnsi="Open Sans Light" w:cs="Open Sans Light"/>
          <w:sz w:val="16"/>
          <w:szCs w:val="16"/>
          <w:vertAlign w:val="superscript"/>
        </w:rPr>
        <w:footnoteReference w:id="2"/>
      </w:r>
      <w:r w:rsidRPr="00F72E5A">
        <w:rPr>
          <w:rFonts w:ascii="Open Sans Light" w:hAnsi="Open Sans Light" w:cs="Open Sans Light"/>
          <w:sz w:val="16"/>
          <w:szCs w:val="16"/>
          <w:vertAlign w:val="superscript"/>
        </w:rPr>
        <w:t>,</w:t>
      </w:r>
      <w:r w:rsidRPr="00F72E5A">
        <w:rPr>
          <w:rFonts w:ascii="Open Sans Light" w:hAnsi="Open Sans Light" w:cs="Open Sans Light"/>
        </w:rPr>
        <w:t xml:space="preserve"> che illustrano per ogni singola misura la conformità al principio DNSH</w:t>
      </w:r>
      <w:r w:rsidR="00005C36" w:rsidRPr="008154B4">
        <w:rPr>
          <w:rFonts w:ascii="Open Sans Light" w:hAnsi="Open Sans Light" w:cs="Open Sans Light"/>
        </w:rPr>
        <w:t xml:space="preserve">; </w:t>
      </w:r>
    </w:p>
    <w:p w14:paraId="4F244848" w14:textId="77777777" w:rsidR="00005C36" w:rsidRPr="008154B4" w:rsidRDefault="00005C36" w:rsidP="0050687D">
      <w:pPr>
        <w:pStyle w:val="Paragrafoelenco"/>
        <w:numPr>
          <w:ilvl w:val="0"/>
          <w:numId w:val="7"/>
        </w:numPr>
        <w:spacing w:line="276" w:lineRule="auto"/>
        <w:ind w:left="811" w:right="454" w:hanging="357"/>
        <w:rPr>
          <w:rFonts w:ascii="Open Sans Light" w:hAnsi="Open Sans Light" w:cs="Open Sans Light"/>
        </w:rPr>
      </w:pPr>
      <w:r w:rsidRPr="008154B4">
        <w:rPr>
          <w:rFonts w:ascii="Open Sans Light" w:hAnsi="Open Sans Light" w:cs="Open Sans Light"/>
        </w:rPr>
        <w:t>Circolare del Ministero dell’economia e delle finanze – Dipartimento della Ragioneria Generale dello Stato (MEF-RGS) n. 32 del 30 dicembre 2021 relativa a “Piano Nazionale di Ripresa e Resilienza – Guida operativa per il rispetto del principio di non arrecare danno significativo all’ambiente” (Circolare MEF-RGS 32/2021);</w:t>
      </w:r>
    </w:p>
    <w:p w14:paraId="3DF5CC12" w14:textId="77777777" w:rsidR="00005C36" w:rsidRPr="008154B4" w:rsidRDefault="00005C36" w:rsidP="0050687D">
      <w:pPr>
        <w:pStyle w:val="Paragrafoelenco"/>
        <w:numPr>
          <w:ilvl w:val="0"/>
          <w:numId w:val="7"/>
        </w:numPr>
        <w:spacing w:after="160" w:line="276" w:lineRule="auto"/>
        <w:ind w:left="811" w:right="454" w:hanging="357"/>
        <w:rPr>
          <w:rFonts w:ascii="Open Sans Light" w:hAnsi="Open Sans Light" w:cs="Open Sans Light"/>
        </w:rPr>
      </w:pPr>
      <w:r w:rsidRPr="008154B4">
        <w:rPr>
          <w:rFonts w:ascii="Open Sans Light" w:hAnsi="Open Sans Light" w:cs="Open Sans Light"/>
        </w:rPr>
        <w:t>Circolare del Ministero dell’economia e delle finanze – Dipartimento della Ragioneria Generale dello Stato (MEF-RGS) n. 30 dell’11 agosto 2022 relativa a “Circolare sulle procedure di controllo e rendicontazione delle misure PNRR” (Circolare MEF-RGS 30/2022);</w:t>
      </w:r>
    </w:p>
    <w:p w14:paraId="5A9B8442" w14:textId="77777777" w:rsidR="00825A8B" w:rsidRPr="00AA465F" w:rsidRDefault="00005C36" w:rsidP="0050687D">
      <w:pPr>
        <w:pStyle w:val="Paragrafoelenco"/>
        <w:numPr>
          <w:ilvl w:val="0"/>
          <w:numId w:val="7"/>
        </w:numPr>
        <w:spacing w:line="276" w:lineRule="auto"/>
        <w:ind w:left="811" w:right="454" w:hanging="357"/>
        <w:rPr>
          <w:rFonts w:ascii="Open Sans Light" w:hAnsi="Open Sans Light" w:cs="Open Sans Light"/>
        </w:rPr>
      </w:pPr>
      <w:r w:rsidRPr="00AA465F">
        <w:rPr>
          <w:rFonts w:ascii="Open Sans Light" w:hAnsi="Open Sans Light" w:cs="Open Sans Light"/>
        </w:rPr>
        <w:t>Circolare del MEF-RGS n. 33 del 13 ottobre 2022 relativa a “Aggiornamento Guida operativa per il rispetto del principio di non arrecare danno significativo all’ambiente (cd. DNSH)” (Circolare MEF-RGS 33/2022)</w:t>
      </w:r>
      <w:r w:rsidR="00825A8B" w:rsidRPr="00AA465F">
        <w:rPr>
          <w:rFonts w:ascii="Open Sans Light" w:hAnsi="Open Sans Light" w:cs="Open Sans Light"/>
        </w:rPr>
        <w:t>;</w:t>
      </w:r>
    </w:p>
    <w:p w14:paraId="19A2A72F" w14:textId="28E89511" w:rsidR="00005C36" w:rsidRPr="00AA465F" w:rsidRDefault="00825A8B" w:rsidP="0050687D">
      <w:pPr>
        <w:pStyle w:val="Paragrafoelenco"/>
        <w:numPr>
          <w:ilvl w:val="0"/>
          <w:numId w:val="7"/>
        </w:numPr>
        <w:spacing w:line="276" w:lineRule="auto"/>
        <w:ind w:left="811" w:right="454" w:hanging="357"/>
        <w:rPr>
          <w:rFonts w:ascii="Open Sans Light" w:hAnsi="Open Sans Light" w:cs="Open Sans Light"/>
          <w:color w:val="auto"/>
        </w:rPr>
      </w:pPr>
      <w:r w:rsidRPr="00870ADA">
        <w:rPr>
          <w:rFonts w:ascii="Open Sans Light" w:hAnsi="Open Sans Light" w:cs="Open Sans Light"/>
        </w:rPr>
        <w:t>Vademecum DNSH di Fondazione IFEL - Indicazioni operative per l’applicazione del principio di non arrecare danno significativo all’ambiente nei progetti pubblici PNRR - Quaderno Operativo 1, ambito edilizia e cantieristica</w:t>
      </w:r>
      <w:r w:rsidRPr="00AA465F">
        <w:rPr>
          <w:rStyle w:val="Rimandonotaapidipagina"/>
          <w:rFonts w:ascii="Open Sans Light" w:hAnsi="Open Sans Light" w:cs="Open Sans Light"/>
          <w:color w:val="auto"/>
          <w:shd w:val="clear" w:color="auto" w:fill="FFFFFF"/>
        </w:rPr>
        <w:footnoteReference w:id="3"/>
      </w:r>
      <w:r w:rsidRPr="00AA465F">
        <w:rPr>
          <w:rStyle w:val="normaltextrun"/>
          <w:rFonts w:ascii="Open Sans Light" w:hAnsi="Open Sans Light" w:cs="Open Sans Light"/>
          <w:color w:val="auto"/>
          <w:shd w:val="clear" w:color="auto" w:fill="FFFFFF"/>
        </w:rPr>
        <w:t>.</w:t>
      </w:r>
    </w:p>
    <w:p w14:paraId="2DD2BFC9" w14:textId="77777777" w:rsidR="00005C36" w:rsidRPr="008154B4" w:rsidRDefault="00005C36" w:rsidP="003D6611">
      <w:pPr>
        <w:ind w:left="412" w:firstLine="0"/>
        <w:rPr>
          <w:rFonts w:ascii="Open Sans Light" w:hAnsi="Open Sans Light" w:cs="Open Sans Light"/>
        </w:rPr>
      </w:pPr>
      <w:r w:rsidRPr="008154B4">
        <w:rPr>
          <w:rFonts w:ascii="Open Sans Light" w:hAnsi="Open Sans Light" w:cs="Open Sans Light"/>
        </w:rPr>
        <w:lastRenderedPageBreak/>
        <w:t xml:space="preserve">Il PNRR prevede il rispetto di una serie di principi trasversali, tra cui quelli in materia ambientale, che si declinano secondo due modalità: </w:t>
      </w:r>
      <w:r w:rsidRPr="003D6611">
        <w:rPr>
          <w:rFonts w:ascii="Open Sans Light" w:hAnsi="Open Sans Light" w:cs="Open Sans Light"/>
          <w:i/>
          <w:iCs/>
        </w:rPr>
        <w:t>tagging climatico/ambientale</w:t>
      </w:r>
      <w:r w:rsidRPr="008154B4">
        <w:rPr>
          <w:rFonts w:ascii="Open Sans Light" w:hAnsi="Open Sans Light" w:cs="Open Sans Light"/>
        </w:rPr>
        <w:t xml:space="preserve"> e il </w:t>
      </w:r>
      <w:r w:rsidRPr="003D6611">
        <w:rPr>
          <w:rFonts w:ascii="Open Sans Light" w:hAnsi="Open Sans Light" w:cs="Open Sans Light"/>
          <w:i/>
          <w:iCs/>
        </w:rPr>
        <w:t>principio “non arrecare un danno significativo”</w:t>
      </w:r>
      <w:r w:rsidRPr="008154B4">
        <w:rPr>
          <w:rFonts w:ascii="Open Sans Light" w:hAnsi="Open Sans Light" w:cs="Open Sans Light"/>
        </w:rPr>
        <w:t xml:space="preserve"> (</w:t>
      </w:r>
      <w:r w:rsidRPr="003D6611">
        <w:rPr>
          <w:rFonts w:ascii="Open Sans Light" w:hAnsi="Open Sans Light" w:cs="Open Sans Light"/>
        </w:rPr>
        <w:t xml:space="preserve">Do No </w:t>
      </w:r>
      <w:proofErr w:type="spellStart"/>
      <w:r w:rsidRPr="003D6611">
        <w:rPr>
          <w:rFonts w:ascii="Open Sans Light" w:hAnsi="Open Sans Light" w:cs="Open Sans Light"/>
        </w:rPr>
        <w:t>Significant</w:t>
      </w:r>
      <w:proofErr w:type="spellEnd"/>
      <w:r w:rsidRPr="003D6611">
        <w:rPr>
          <w:rFonts w:ascii="Open Sans Light" w:hAnsi="Open Sans Light" w:cs="Open Sans Light"/>
        </w:rPr>
        <w:t xml:space="preserve"> </w:t>
      </w:r>
      <w:proofErr w:type="spellStart"/>
      <w:r w:rsidRPr="003D6611">
        <w:rPr>
          <w:rFonts w:ascii="Open Sans Light" w:hAnsi="Open Sans Light" w:cs="Open Sans Light"/>
        </w:rPr>
        <w:t>Harm</w:t>
      </w:r>
      <w:proofErr w:type="spellEnd"/>
      <w:r w:rsidRPr="008154B4">
        <w:rPr>
          <w:rFonts w:ascii="Open Sans Light" w:hAnsi="Open Sans Light" w:cs="Open Sans Light"/>
        </w:rPr>
        <w:t xml:space="preserve"> – DNSH). </w:t>
      </w:r>
    </w:p>
    <w:p w14:paraId="09144A41" w14:textId="07E000BD" w:rsidR="00005C36" w:rsidRPr="008154B4" w:rsidRDefault="00005C36" w:rsidP="003D6611">
      <w:pPr>
        <w:ind w:left="412" w:firstLine="0"/>
        <w:rPr>
          <w:rFonts w:ascii="Open Sans Light" w:hAnsi="Open Sans Light" w:cs="Open Sans Light"/>
        </w:rPr>
      </w:pPr>
      <w:r w:rsidRPr="008154B4">
        <w:rPr>
          <w:rFonts w:ascii="Open Sans Light" w:hAnsi="Open Sans Light" w:cs="Open Sans Light"/>
        </w:rPr>
        <w:t>Il Regolamento (UE) 12 febbraio 2021, n. 2021/241, che istituisce il Dispositivo di Ripresa e Resilienza (</w:t>
      </w:r>
      <w:r w:rsidR="00357E2E">
        <w:rPr>
          <w:rFonts w:ascii="Open Sans Light" w:hAnsi="Open Sans Light" w:cs="Open Sans Light"/>
        </w:rPr>
        <w:t>R</w:t>
      </w:r>
      <w:r w:rsidRPr="008154B4">
        <w:rPr>
          <w:rFonts w:ascii="Open Sans Light" w:hAnsi="Open Sans Light" w:cs="Open Sans Light"/>
        </w:rPr>
        <w:t xml:space="preserve">egolamento </w:t>
      </w:r>
      <w:r w:rsidR="00D25CBF">
        <w:rPr>
          <w:rFonts w:ascii="Open Sans Light" w:hAnsi="Open Sans Light" w:cs="Open Sans Light"/>
        </w:rPr>
        <w:t>R</w:t>
      </w:r>
      <w:r w:rsidRPr="008154B4">
        <w:rPr>
          <w:rFonts w:ascii="Open Sans Light" w:hAnsi="Open Sans Light" w:cs="Open Sans Light"/>
        </w:rPr>
        <w:t xml:space="preserve">FF), all’art. 18 stabilisce che tutte le misure dei Piani nazionali per la ripresa e resilienza (PNRR), sia riforme che investimenti, debbano soddisfare il principio del DNSH, ossia di </w:t>
      </w:r>
      <w:r w:rsidR="00CE13E8" w:rsidRPr="003D6611">
        <w:rPr>
          <w:rFonts w:ascii="Open Sans Light" w:hAnsi="Open Sans Light" w:cs="Open Sans Light"/>
          <w:b/>
          <w:bCs/>
        </w:rPr>
        <w:t>non arrecare danno significativo all'ambiente</w:t>
      </w:r>
      <w:r w:rsidR="00CE13E8" w:rsidRPr="00CE13E8">
        <w:rPr>
          <w:rFonts w:ascii="Open Sans Light" w:hAnsi="Open Sans Light" w:cs="Open Sans Light"/>
        </w:rPr>
        <w:t xml:space="preserve"> in base a quanto previsto dagli obiettivi individuati nell'Accordo di Parigi (Green Deal europeo)</w:t>
      </w:r>
      <w:r w:rsidR="00CE13E8">
        <w:rPr>
          <w:rFonts w:ascii="Open Sans Light" w:hAnsi="Open Sans Light" w:cs="Open Sans Light"/>
        </w:rPr>
        <w:t>.</w:t>
      </w:r>
    </w:p>
    <w:p w14:paraId="26B25C6F" w14:textId="2C710B60" w:rsidR="00005C36" w:rsidRDefault="00005C36" w:rsidP="003D6611">
      <w:pPr>
        <w:spacing w:after="121" w:line="276" w:lineRule="auto"/>
        <w:ind w:left="454" w:right="454" w:hanging="11"/>
        <w:rPr>
          <w:rFonts w:ascii="Open Sans Light" w:hAnsi="Open Sans Light" w:cs="Open Sans Light"/>
          <w:iCs/>
        </w:rPr>
      </w:pPr>
      <w:r w:rsidRPr="008154B4">
        <w:rPr>
          <w:rFonts w:ascii="Open Sans Light" w:hAnsi="Open Sans Light" w:cs="Open Sans Light"/>
          <w:iCs/>
        </w:rPr>
        <w:t xml:space="preserve">Al fine di supportare l’attuazione del principio DNSH, il Ministero dell'Economia e delle Finanze - Dipartimento della Ragioneria Generale dello Stato (MEF-RGS), con </w:t>
      </w:r>
      <w:r w:rsidRPr="008154B4">
        <w:rPr>
          <w:rFonts w:ascii="Open Sans Light" w:hAnsi="Open Sans Light" w:cs="Open Sans Light"/>
          <w:b/>
          <w:iCs/>
        </w:rPr>
        <w:t>Circolare del 30.12.2021, n. 32</w:t>
      </w:r>
      <w:r w:rsidRPr="008154B4">
        <w:rPr>
          <w:rFonts w:ascii="Open Sans Light" w:hAnsi="Open Sans Light" w:cs="Open Sans Light"/>
          <w:iCs/>
        </w:rPr>
        <w:t xml:space="preserve">, ha diramato la </w:t>
      </w:r>
      <w:r w:rsidRPr="008154B4">
        <w:rPr>
          <w:rFonts w:ascii="Open Sans Light" w:hAnsi="Open Sans Light" w:cs="Open Sans Light"/>
          <w:b/>
          <w:i/>
          <w:iCs/>
        </w:rPr>
        <w:t>Guida Operativa per il rispetto del principio di non arrecare danno significativo all’ambiente</w:t>
      </w:r>
      <w:r w:rsidRPr="008154B4">
        <w:rPr>
          <w:rStyle w:val="Rimandonotaapidipagina"/>
          <w:rFonts w:ascii="Open Sans Light" w:hAnsi="Open Sans Light" w:cs="Open Sans Light"/>
          <w:b/>
          <w:i/>
          <w:iCs/>
        </w:rPr>
        <w:footnoteReference w:id="4"/>
      </w:r>
      <w:r>
        <w:rPr>
          <w:rFonts w:ascii="Open Sans Light" w:hAnsi="Open Sans Light" w:cs="Open Sans Light"/>
          <w:bCs/>
        </w:rPr>
        <w:t xml:space="preserve">. </w:t>
      </w:r>
      <w:r w:rsidRPr="008154B4">
        <w:rPr>
          <w:rFonts w:ascii="Open Sans Light" w:hAnsi="Open Sans Light" w:cs="Open Sans Light"/>
        </w:rPr>
        <w:t xml:space="preserve">A seguito dell’ingresso nella fase di esecuzione di un numero crescente di misure del PNRR e al fine di fornire indicazioni maggiormente coerenti con le effettive modalità di attuazione degli investimenti così come segnalate dalle Amministrazioni titolari, il MEF-RGS, con </w:t>
      </w:r>
      <w:r w:rsidRPr="008154B4">
        <w:rPr>
          <w:rFonts w:ascii="Open Sans Light" w:hAnsi="Open Sans Light" w:cs="Open Sans Light"/>
          <w:b/>
          <w:bCs/>
        </w:rPr>
        <w:t>Circolare del 13.10.2022, n. 33</w:t>
      </w:r>
      <w:r w:rsidRPr="008154B4">
        <w:rPr>
          <w:rFonts w:ascii="Open Sans Light" w:hAnsi="Open Sans Light" w:cs="Open Sans Light"/>
        </w:rPr>
        <w:t>, ha trasmesso l’</w:t>
      </w:r>
      <w:r w:rsidRPr="008154B4">
        <w:rPr>
          <w:rFonts w:ascii="Open Sans Light" w:hAnsi="Open Sans Light" w:cs="Open Sans Light"/>
          <w:b/>
          <w:bCs/>
          <w:i/>
          <w:iCs/>
        </w:rPr>
        <w:t>Aggiornamento della Guida Operativa per il rispetto del principio di non arrecare danno significativo all’ambiente (c.d. DNSH)</w:t>
      </w:r>
      <w:r w:rsidRPr="008154B4">
        <w:rPr>
          <w:rStyle w:val="Rimandonotaapidipagina"/>
          <w:rFonts w:ascii="Open Sans Light" w:hAnsi="Open Sans Light" w:cs="Open Sans Light"/>
          <w:b/>
          <w:bCs/>
          <w:i/>
          <w:iCs/>
        </w:rPr>
        <w:footnoteReference w:id="5"/>
      </w:r>
      <w:r w:rsidRPr="008154B4">
        <w:rPr>
          <w:rFonts w:ascii="Open Sans Light" w:hAnsi="Open Sans Light" w:cs="Open Sans Light"/>
        </w:rPr>
        <w:t xml:space="preserve"> di cui alla Circolare n. 32 del 30 dicembre 2021.</w:t>
      </w:r>
      <w:r w:rsidR="00165D85">
        <w:rPr>
          <w:rFonts w:ascii="Open Sans Light" w:hAnsi="Open Sans Light" w:cs="Open Sans Light"/>
          <w:iCs/>
        </w:rPr>
        <w:t xml:space="preserve"> </w:t>
      </w:r>
    </w:p>
    <w:p w14:paraId="12BC496D" w14:textId="36D7E839" w:rsidR="005676CA" w:rsidRPr="0017512A" w:rsidRDefault="005174D0" w:rsidP="003D6611">
      <w:pPr>
        <w:spacing w:after="121" w:line="276" w:lineRule="auto"/>
        <w:ind w:left="454" w:right="454"/>
        <w:rPr>
          <w:rFonts w:ascii="Open Sans Light" w:hAnsi="Open Sans Light" w:cs="Open Sans Light"/>
          <w:i/>
        </w:rPr>
      </w:pPr>
      <w:r>
        <w:rPr>
          <w:rFonts w:ascii="Open Sans Light" w:hAnsi="Open Sans Light" w:cs="Open Sans Light"/>
          <w:iCs/>
        </w:rPr>
        <w:t>N</w:t>
      </w:r>
      <w:r w:rsidR="005676CA">
        <w:rPr>
          <w:rFonts w:ascii="Open Sans Light" w:hAnsi="Open Sans Light" w:cs="Open Sans Light"/>
          <w:iCs/>
        </w:rPr>
        <w:t>ella Circolare il MEF premette che</w:t>
      </w:r>
      <w:r w:rsidR="00460178">
        <w:rPr>
          <w:rFonts w:ascii="Open Sans Light" w:hAnsi="Open Sans Light" w:cs="Open Sans Light"/>
          <w:iCs/>
        </w:rPr>
        <w:t xml:space="preserve"> “</w:t>
      </w:r>
      <w:r w:rsidR="00460178" w:rsidRPr="0017512A">
        <w:rPr>
          <w:rFonts w:ascii="Open Sans Light" w:hAnsi="Open Sans Light" w:cs="Open Sans Light"/>
          <w:b/>
          <w:bCs/>
          <w:i/>
        </w:rPr>
        <w:t>la</w:t>
      </w:r>
      <w:r w:rsidR="005676CA" w:rsidRPr="0017512A">
        <w:rPr>
          <w:rFonts w:ascii="Open Sans Light" w:hAnsi="Open Sans Light" w:cs="Open Sans Light"/>
          <w:b/>
          <w:bCs/>
          <w:i/>
        </w:rPr>
        <w:t xml:space="preserve"> Guida è uno strumento di orientamento e supporto. Rimane in capo alle</w:t>
      </w:r>
      <w:r w:rsidR="00460178" w:rsidRPr="0017512A">
        <w:rPr>
          <w:rFonts w:ascii="Open Sans Light" w:hAnsi="Open Sans Light" w:cs="Open Sans Light"/>
          <w:b/>
          <w:bCs/>
          <w:i/>
        </w:rPr>
        <w:t xml:space="preserve"> </w:t>
      </w:r>
      <w:r w:rsidR="005676CA" w:rsidRPr="0017512A">
        <w:rPr>
          <w:rFonts w:ascii="Open Sans Light" w:hAnsi="Open Sans Light" w:cs="Open Sans Light"/>
          <w:b/>
          <w:bCs/>
          <w:i/>
        </w:rPr>
        <w:t>Amministrazioni titolari la responsabilità di assicurare la conformità ai requisiti DNSH degli</w:t>
      </w:r>
      <w:r w:rsidR="00460178" w:rsidRPr="0017512A">
        <w:rPr>
          <w:rFonts w:ascii="Open Sans Light" w:hAnsi="Open Sans Light" w:cs="Open Sans Light"/>
          <w:b/>
          <w:bCs/>
          <w:i/>
        </w:rPr>
        <w:t xml:space="preserve"> </w:t>
      </w:r>
      <w:r w:rsidR="005676CA" w:rsidRPr="0017512A">
        <w:rPr>
          <w:rFonts w:ascii="Open Sans Light" w:hAnsi="Open Sans Light" w:cs="Open Sans Light"/>
          <w:b/>
          <w:bCs/>
          <w:i/>
        </w:rPr>
        <w:t>interventi finanziati, anche tramite la trasmissione di indicazioni puntuali ai soggetti attuatori in</w:t>
      </w:r>
      <w:r w:rsidR="00460178" w:rsidRPr="0017512A">
        <w:rPr>
          <w:rFonts w:ascii="Open Sans Light" w:hAnsi="Open Sans Light" w:cs="Open Sans Light"/>
          <w:b/>
          <w:bCs/>
          <w:i/>
        </w:rPr>
        <w:t xml:space="preserve"> </w:t>
      </w:r>
      <w:r w:rsidR="005676CA" w:rsidRPr="0017512A">
        <w:rPr>
          <w:rFonts w:ascii="Open Sans Light" w:hAnsi="Open Sans Light" w:cs="Open Sans Light"/>
          <w:b/>
          <w:bCs/>
          <w:i/>
        </w:rPr>
        <w:t>sede di monitoraggio e rendicontazione dei traguardi e obiettivi (milestone e target) e in sede di</w:t>
      </w:r>
      <w:r w:rsidR="00460178" w:rsidRPr="0017512A">
        <w:rPr>
          <w:rFonts w:ascii="Open Sans Light" w:hAnsi="Open Sans Light" w:cs="Open Sans Light"/>
          <w:b/>
          <w:bCs/>
          <w:i/>
        </w:rPr>
        <w:t xml:space="preserve"> </w:t>
      </w:r>
      <w:r w:rsidR="005676CA" w:rsidRPr="0017512A">
        <w:rPr>
          <w:rFonts w:ascii="Open Sans Light" w:hAnsi="Open Sans Light" w:cs="Open Sans Light"/>
          <w:b/>
          <w:bCs/>
          <w:i/>
        </w:rPr>
        <w:t>verifica e controllo della spesa</w:t>
      </w:r>
      <w:r w:rsidR="00760E60" w:rsidRPr="0017512A">
        <w:rPr>
          <w:rFonts w:ascii="Open Sans Light" w:hAnsi="Open Sans Light" w:cs="Open Sans Light"/>
          <w:b/>
          <w:bCs/>
          <w:i/>
        </w:rPr>
        <w:t>”</w:t>
      </w:r>
      <w:r w:rsidR="005676CA" w:rsidRPr="0017512A">
        <w:rPr>
          <w:rFonts w:ascii="Open Sans Light" w:hAnsi="Open Sans Light" w:cs="Open Sans Light"/>
          <w:i/>
        </w:rPr>
        <w:t>.</w:t>
      </w:r>
    </w:p>
    <w:p w14:paraId="7EC8E65B" w14:textId="77777777" w:rsidR="00BA6270" w:rsidRDefault="00005C36" w:rsidP="00BA6270">
      <w:pPr>
        <w:spacing w:after="121" w:line="276" w:lineRule="auto"/>
        <w:ind w:left="454" w:right="454"/>
        <w:rPr>
          <w:rFonts w:ascii="Open Sans Light" w:hAnsi="Open Sans Light" w:cs="Open Sans Light"/>
          <w:bCs/>
        </w:rPr>
      </w:pPr>
      <w:r>
        <w:rPr>
          <w:rFonts w:ascii="Open Sans Light" w:hAnsi="Open Sans Light" w:cs="Open Sans Light"/>
          <w:bCs/>
        </w:rPr>
        <w:t xml:space="preserve">Nella suddetta Guida Operativa è reperibile una </w:t>
      </w:r>
      <w:r w:rsidRPr="002D7243">
        <w:rPr>
          <w:rFonts w:ascii="Open Sans Light" w:hAnsi="Open Sans Light" w:cs="Open Sans Light"/>
          <w:b/>
        </w:rPr>
        <w:t>mappatura</w:t>
      </w:r>
      <w:r w:rsidR="00505820">
        <w:rPr>
          <w:rFonts w:ascii="Open Sans Light" w:hAnsi="Open Sans Light" w:cs="Open Sans Light"/>
          <w:b/>
        </w:rPr>
        <w:t xml:space="preserve"> ed una associazione</w:t>
      </w:r>
      <w:r>
        <w:rPr>
          <w:rFonts w:ascii="Open Sans Light" w:hAnsi="Open Sans Light" w:cs="Open Sans Light"/>
          <w:bCs/>
        </w:rPr>
        <w:t xml:space="preserve"> </w:t>
      </w:r>
      <w:r w:rsidR="00505820">
        <w:rPr>
          <w:rFonts w:ascii="Open Sans Light" w:hAnsi="Open Sans Light" w:cs="Open Sans Light"/>
          <w:bCs/>
        </w:rPr>
        <w:t>dei singoli investimenti</w:t>
      </w:r>
      <w:r>
        <w:rPr>
          <w:rFonts w:ascii="Open Sans Light" w:hAnsi="Open Sans Light" w:cs="Open Sans Light"/>
          <w:bCs/>
        </w:rPr>
        <w:t xml:space="preserve"> PNRR rispetto a</w:t>
      </w:r>
      <w:r w:rsidR="00505820">
        <w:rPr>
          <w:rFonts w:ascii="Open Sans Light" w:hAnsi="Open Sans Light" w:cs="Open Sans Light"/>
          <w:bCs/>
        </w:rPr>
        <w:t xml:space="preserve"> dell</w:t>
      </w:r>
      <w:r>
        <w:rPr>
          <w:rFonts w:ascii="Open Sans Light" w:hAnsi="Open Sans Light" w:cs="Open Sans Light"/>
          <w:bCs/>
        </w:rPr>
        <w:t>e “aree di intervento” caratterizzate dalle medesime conseguenze in termini di vincoli DNSH. Le aree di intervento sono, a titolo esemplificativo, riferite all’edilizia, all’efficienza energetica, ai cantieri</w:t>
      </w:r>
      <w:r w:rsidR="00505820">
        <w:rPr>
          <w:rFonts w:ascii="Open Sans Light" w:hAnsi="Open Sans Light" w:cs="Open Sans Light"/>
          <w:bCs/>
        </w:rPr>
        <w:t xml:space="preserve"> e sono dettagliate in specifiche </w:t>
      </w:r>
      <w:r w:rsidR="00505820" w:rsidRPr="004B349B">
        <w:rPr>
          <w:rFonts w:ascii="Open Sans Light" w:hAnsi="Open Sans Light" w:cs="Open Sans Light"/>
          <w:b/>
          <w:bCs/>
        </w:rPr>
        <w:t>schede tecniche</w:t>
      </w:r>
      <w:r w:rsidR="00505820">
        <w:rPr>
          <w:rFonts w:ascii="Open Sans Light" w:hAnsi="Open Sans Light" w:cs="Open Sans Light"/>
          <w:bCs/>
        </w:rPr>
        <w:t xml:space="preserve"> che</w:t>
      </w:r>
      <w:r w:rsidR="00A358F2">
        <w:rPr>
          <w:rFonts w:ascii="Open Sans Light" w:hAnsi="Open Sans Light" w:cs="Open Sans Light"/>
          <w:bCs/>
        </w:rPr>
        <w:t xml:space="preserve"> ne</w:t>
      </w:r>
      <w:r w:rsidR="00505820">
        <w:rPr>
          <w:rFonts w:ascii="Open Sans Light" w:hAnsi="Open Sans Light" w:cs="Open Sans Light"/>
          <w:bCs/>
        </w:rPr>
        <w:t xml:space="preserve"> </w:t>
      </w:r>
      <w:r w:rsidR="00505820" w:rsidRPr="004B349B">
        <w:rPr>
          <w:rFonts w:ascii="Open Sans Light" w:hAnsi="Open Sans Light" w:cs="Open Sans Light"/>
          <w:bCs/>
        </w:rPr>
        <w:t>riporta</w:t>
      </w:r>
      <w:r w:rsidR="00505820">
        <w:rPr>
          <w:rFonts w:ascii="Open Sans Light" w:hAnsi="Open Sans Light" w:cs="Open Sans Light"/>
          <w:bCs/>
        </w:rPr>
        <w:t>no</w:t>
      </w:r>
      <w:r w:rsidR="00A358F2">
        <w:rPr>
          <w:rFonts w:ascii="Open Sans Light" w:hAnsi="Open Sans Light" w:cs="Open Sans Light"/>
          <w:bCs/>
        </w:rPr>
        <w:t xml:space="preserve"> i pertinenti</w:t>
      </w:r>
      <w:r w:rsidR="00505820">
        <w:rPr>
          <w:rFonts w:ascii="Open Sans Light" w:hAnsi="Open Sans Light" w:cs="Open Sans Light"/>
          <w:bCs/>
        </w:rPr>
        <w:t xml:space="preserve"> </w:t>
      </w:r>
      <w:r w:rsidR="00505820" w:rsidRPr="004B349B">
        <w:rPr>
          <w:rFonts w:ascii="Open Sans Light" w:hAnsi="Open Sans Light" w:cs="Open Sans Light"/>
          <w:bCs/>
        </w:rPr>
        <w:t xml:space="preserve">riferimenti normativi, vincoli DNSH e </w:t>
      </w:r>
      <w:r w:rsidR="00505820">
        <w:rPr>
          <w:rFonts w:ascii="Open Sans Light" w:hAnsi="Open Sans Light" w:cs="Open Sans Light"/>
          <w:bCs/>
        </w:rPr>
        <w:t xml:space="preserve">relativi </w:t>
      </w:r>
      <w:r w:rsidR="00505820" w:rsidRPr="004B349B">
        <w:rPr>
          <w:rFonts w:ascii="Open Sans Light" w:hAnsi="Open Sans Light" w:cs="Open Sans Light"/>
          <w:bCs/>
        </w:rPr>
        <w:t>possibili elementi di verifica</w:t>
      </w:r>
      <w:r w:rsidRPr="00427770">
        <w:rPr>
          <w:rFonts w:ascii="Open Sans Light" w:hAnsi="Open Sans Light" w:cs="Open Sans Light"/>
          <w:bCs/>
        </w:rPr>
        <w:t xml:space="preserve">. </w:t>
      </w:r>
      <w:r w:rsidRPr="00256E31">
        <w:rPr>
          <w:rFonts w:ascii="Open Sans Light" w:hAnsi="Open Sans Light" w:cs="Open Sans Light"/>
          <w:b/>
        </w:rPr>
        <w:t>Nella suddetta Guida Operativa si precisa che l’associazione tra investimenti e schede tecniche non ha carattere vincolante e spetterà all’amministrazione selezionare le schede applicabili</w:t>
      </w:r>
      <w:r w:rsidR="00427770">
        <w:rPr>
          <w:rFonts w:ascii="Open Sans Light" w:hAnsi="Open Sans Light" w:cs="Open Sans Light"/>
          <w:b/>
        </w:rPr>
        <w:t xml:space="preserve"> a seconda delle peculiarità delle misure per le quali è responsabile</w:t>
      </w:r>
      <w:r w:rsidRPr="00D1456E">
        <w:rPr>
          <w:rFonts w:ascii="Open Sans Light" w:hAnsi="Open Sans Light" w:cs="Open Sans Light"/>
          <w:bCs/>
        </w:rPr>
        <w:t>.</w:t>
      </w:r>
      <w:r>
        <w:rPr>
          <w:rFonts w:ascii="Open Sans Light" w:hAnsi="Open Sans Light" w:cs="Open Sans Light"/>
          <w:bCs/>
        </w:rPr>
        <w:t xml:space="preserve"> Le </w:t>
      </w:r>
      <w:r w:rsidRPr="00440C8F">
        <w:rPr>
          <w:rFonts w:ascii="Open Sans Light" w:hAnsi="Open Sans Light" w:cs="Open Sans Light"/>
          <w:b/>
        </w:rPr>
        <w:t>schede tecniche</w:t>
      </w:r>
      <w:r w:rsidR="000F019C">
        <w:rPr>
          <w:rFonts w:ascii="Open Sans Light" w:hAnsi="Open Sans Light" w:cs="Open Sans Light"/>
          <w:b/>
        </w:rPr>
        <w:t xml:space="preserve"> </w:t>
      </w:r>
      <w:r>
        <w:rPr>
          <w:rFonts w:ascii="Open Sans Light" w:hAnsi="Open Sans Light" w:cs="Open Sans Light"/>
          <w:bCs/>
        </w:rPr>
        <w:t xml:space="preserve">individuano i criteri e gli elementi di verifica </w:t>
      </w:r>
      <w:r w:rsidRPr="00BB252C">
        <w:rPr>
          <w:rFonts w:ascii="Open Sans Light" w:hAnsi="Open Sans Light" w:cs="Open Sans Light"/>
          <w:bCs/>
          <w:i/>
          <w:iCs/>
        </w:rPr>
        <w:t>ex ante</w:t>
      </w:r>
      <w:r>
        <w:rPr>
          <w:rFonts w:ascii="Open Sans Light" w:hAnsi="Open Sans Light" w:cs="Open Sans Light"/>
          <w:bCs/>
        </w:rPr>
        <w:t xml:space="preserve"> ed </w:t>
      </w:r>
      <w:r w:rsidRPr="00BB252C">
        <w:rPr>
          <w:rFonts w:ascii="Open Sans Light" w:hAnsi="Open Sans Light" w:cs="Open Sans Light"/>
          <w:bCs/>
          <w:i/>
          <w:iCs/>
        </w:rPr>
        <w:t>ex</w:t>
      </w:r>
      <w:r w:rsidR="00427770" w:rsidRPr="00BB252C">
        <w:rPr>
          <w:rFonts w:ascii="Open Sans Light" w:hAnsi="Open Sans Light" w:cs="Open Sans Light"/>
          <w:bCs/>
          <w:i/>
          <w:iCs/>
        </w:rPr>
        <w:t xml:space="preserve"> post</w:t>
      </w:r>
      <w:r>
        <w:rPr>
          <w:rFonts w:ascii="Open Sans Light" w:hAnsi="Open Sans Light" w:cs="Open Sans Light"/>
          <w:bCs/>
        </w:rPr>
        <w:t xml:space="preserve"> di cui devono tener conto le procedure, a seconda che la misura rientri</w:t>
      </w:r>
      <w:r w:rsidR="00F131AE">
        <w:rPr>
          <w:rFonts w:ascii="Open Sans Light" w:hAnsi="Open Sans Light" w:cs="Open Sans Light"/>
          <w:bCs/>
        </w:rPr>
        <w:t xml:space="preserve"> o meno</w:t>
      </w:r>
      <w:r>
        <w:rPr>
          <w:rFonts w:ascii="Open Sans Light" w:hAnsi="Open Sans Light" w:cs="Open Sans Light"/>
          <w:bCs/>
        </w:rPr>
        <w:t xml:space="preserve"> in un investimento per cui è stato definito un contributo sostanziale all’obiettivo ambientale di mitigazione dei cambiamenti climatici. </w:t>
      </w:r>
      <w:r w:rsidR="00F131AE">
        <w:rPr>
          <w:rFonts w:ascii="Open Sans Light" w:hAnsi="Open Sans Light" w:cs="Open Sans Light"/>
          <w:bCs/>
        </w:rPr>
        <w:t xml:space="preserve">In particolare, la Guida identifica </w:t>
      </w:r>
      <w:r w:rsidR="00F131AE" w:rsidRPr="00F131AE">
        <w:rPr>
          <w:rFonts w:ascii="Open Sans Light" w:hAnsi="Open Sans Light" w:cs="Open Sans Light"/>
          <w:bCs/>
        </w:rPr>
        <w:t xml:space="preserve">due </w:t>
      </w:r>
      <w:r w:rsidR="00E24B08">
        <w:rPr>
          <w:rFonts w:ascii="Open Sans Light" w:hAnsi="Open Sans Light" w:cs="Open Sans Light"/>
          <w:bCs/>
        </w:rPr>
        <w:t>R</w:t>
      </w:r>
      <w:r w:rsidR="00F131AE" w:rsidRPr="00F131AE">
        <w:rPr>
          <w:rFonts w:ascii="Open Sans Light" w:hAnsi="Open Sans Light" w:cs="Open Sans Light"/>
          <w:bCs/>
        </w:rPr>
        <w:t>egimi valutativi attribuibili</w:t>
      </w:r>
      <w:r w:rsidR="004B349B">
        <w:rPr>
          <w:rFonts w:ascii="Open Sans Light" w:hAnsi="Open Sans Light" w:cs="Open Sans Light"/>
          <w:bCs/>
        </w:rPr>
        <w:t xml:space="preserve"> agli investimenti PNRR</w:t>
      </w:r>
      <w:r w:rsidR="00F131AE">
        <w:rPr>
          <w:rFonts w:ascii="Open Sans Light" w:hAnsi="Open Sans Light" w:cs="Open Sans Light"/>
          <w:bCs/>
        </w:rPr>
        <w:t>:</w:t>
      </w:r>
    </w:p>
    <w:p w14:paraId="0CC53083" w14:textId="69CC4FCB" w:rsidR="00F131AE" w:rsidRPr="00BA6270" w:rsidRDefault="00F131AE" w:rsidP="00BA6270">
      <w:pPr>
        <w:pStyle w:val="Paragrafoelenco"/>
        <w:numPr>
          <w:ilvl w:val="0"/>
          <w:numId w:val="21"/>
        </w:numPr>
        <w:spacing w:after="121" w:line="276" w:lineRule="auto"/>
        <w:ind w:right="454"/>
        <w:rPr>
          <w:rFonts w:ascii="Open Sans Light" w:hAnsi="Open Sans Light" w:cs="Open Sans Light"/>
          <w:bCs/>
        </w:rPr>
      </w:pPr>
      <w:r w:rsidRPr="00BA6270">
        <w:rPr>
          <w:rFonts w:ascii="Open Sans Light" w:hAnsi="Open Sans Light" w:cs="Open Sans Light"/>
          <w:bCs/>
        </w:rPr>
        <w:lastRenderedPageBreak/>
        <w:t>Regime 1: l’Investimento contribuisce sostanzialmente al raggiungimento dell’obiettivo della mitigazione dei cambiamenti climatici</w:t>
      </w:r>
      <w:r w:rsidR="00BA6270">
        <w:rPr>
          <w:rFonts w:ascii="Open Sans Light" w:hAnsi="Open Sans Light" w:cs="Open Sans Light"/>
          <w:bCs/>
        </w:rPr>
        <w:t>;</w:t>
      </w:r>
    </w:p>
    <w:p w14:paraId="00F82A1E" w14:textId="24954041" w:rsidR="00AD22BF" w:rsidRPr="00BA6270" w:rsidRDefault="00F131AE" w:rsidP="00BA6270">
      <w:pPr>
        <w:pStyle w:val="Paragrafoelenco"/>
        <w:numPr>
          <w:ilvl w:val="0"/>
          <w:numId w:val="21"/>
        </w:numPr>
        <w:spacing w:after="121" w:line="276" w:lineRule="auto"/>
        <w:ind w:right="454"/>
        <w:rPr>
          <w:rFonts w:ascii="Open Sans Light" w:hAnsi="Open Sans Light" w:cs="Open Sans Light"/>
          <w:bCs/>
        </w:rPr>
      </w:pPr>
      <w:r w:rsidRPr="0066383A">
        <w:rPr>
          <w:rFonts w:ascii="Open Sans Light" w:hAnsi="Open Sans Light" w:cs="Open Sans Light"/>
          <w:bCs/>
        </w:rPr>
        <w:t>Regime 2: l’investimento si limita a “non arrecare un danno significativo” ed è quindi oggetto di una valutazione del mero rispetto del principio DNSH.</w:t>
      </w:r>
      <w:r w:rsidR="00005C36" w:rsidRPr="0066383A">
        <w:rPr>
          <w:rFonts w:ascii="Open Sans Light" w:hAnsi="Open Sans Light" w:cs="Open Sans Light"/>
          <w:bCs/>
        </w:rPr>
        <w:t xml:space="preserve"> </w:t>
      </w:r>
    </w:p>
    <w:p w14:paraId="16815227" w14:textId="65F2D1D8" w:rsidR="00005C36" w:rsidRPr="00397AE8" w:rsidRDefault="00F41BFC" w:rsidP="003D6611">
      <w:pPr>
        <w:spacing w:after="121" w:line="276" w:lineRule="auto"/>
        <w:ind w:left="454" w:right="454"/>
        <w:rPr>
          <w:rFonts w:ascii="Open Sans Light" w:hAnsi="Open Sans Light" w:cs="Open Sans Light"/>
          <w:iCs/>
        </w:rPr>
      </w:pPr>
      <w:r>
        <w:rPr>
          <w:rFonts w:ascii="Open Sans Light" w:hAnsi="Open Sans Light" w:cs="Open Sans Light"/>
          <w:iCs/>
        </w:rPr>
        <w:t>A</w:t>
      </w:r>
      <w:r w:rsidR="00005C36" w:rsidRPr="008154B4">
        <w:rPr>
          <w:rFonts w:ascii="Open Sans Light" w:hAnsi="Open Sans Light" w:cs="Open Sans Light"/>
          <w:iCs/>
        </w:rPr>
        <w:t xml:space="preserve">lla Circolare n. 32 del 30.12.2021 sono, altresì, allegate delle proposte di </w:t>
      </w:r>
      <w:r w:rsidR="00005C36" w:rsidRPr="00A74CFF">
        <w:rPr>
          <w:rFonts w:ascii="Open Sans Light" w:hAnsi="Open Sans Light" w:cs="Open Sans Light"/>
          <w:b/>
          <w:bCs/>
          <w:i/>
          <w:iCs/>
        </w:rPr>
        <w:t>checklist</w:t>
      </w:r>
      <w:r w:rsidR="00005C36" w:rsidRPr="00A74CFF">
        <w:rPr>
          <w:rFonts w:ascii="Open Sans Light" w:hAnsi="Open Sans Light" w:cs="Open Sans Light"/>
          <w:b/>
          <w:bCs/>
          <w:iCs/>
        </w:rPr>
        <w:t xml:space="preserve"> per la verifica e il controllo</w:t>
      </w:r>
      <w:r w:rsidR="00005C36" w:rsidRPr="002D7243">
        <w:rPr>
          <w:rFonts w:ascii="Open Sans Light" w:hAnsi="Open Sans Light" w:cs="Open Sans Light"/>
          <w:iCs/>
        </w:rPr>
        <w:t xml:space="preserve"> </w:t>
      </w:r>
      <w:r w:rsidR="00A358F2">
        <w:rPr>
          <w:rFonts w:ascii="Open Sans Light" w:hAnsi="Open Sans Light" w:cs="Open Sans Light"/>
          <w:iCs/>
        </w:rPr>
        <w:t xml:space="preserve">che </w:t>
      </w:r>
      <w:r w:rsidR="00A358F2" w:rsidRPr="00F41BFC">
        <w:rPr>
          <w:rFonts w:ascii="Open Sans Light" w:hAnsi="Open Sans Light" w:cs="Open Sans Light"/>
        </w:rPr>
        <w:t>riassumono in modo sintetico i principali elementi di verifica</w:t>
      </w:r>
      <w:r w:rsidR="00E30385" w:rsidRPr="00F41BFC">
        <w:rPr>
          <w:rFonts w:ascii="Open Sans Light" w:hAnsi="Open Sans Light" w:cs="Open Sans Light"/>
        </w:rPr>
        <w:t xml:space="preserve"> </w:t>
      </w:r>
      <w:r w:rsidR="00A358F2" w:rsidRPr="00F41BFC">
        <w:rPr>
          <w:rFonts w:ascii="Open Sans Light" w:hAnsi="Open Sans Light" w:cs="Open Sans Light"/>
        </w:rPr>
        <w:t>richiesti nella corrispondente scheda tecnica</w:t>
      </w:r>
      <w:r w:rsidR="00005C36" w:rsidRPr="000C59EA">
        <w:rPr>
          <w:rFonts w:ascii="Open Sans Light" w:hAnsi="Open Sans Light" w:cs="Open Sans Light"/>
          <w:iCs/>
        </w:rPr>
        <w:t>,</w:t>
      </w:r>
      <w:r w:rsidR="00005C36" w:rsidRPr="008154B4">
        <w:rPr>
          <w:rFonts w:ascii="Open Sans Light" w:hAnsi="Open Sans Light" w:cs="Open Sans Light"/>
          <w:iCs/>
        </w:rPr>
        <w:t xml:space="preserve"> la cui </w:t>
      </w:r>
      <w:r w:rsidR="00005C36" w:rsidRPr="0017512A">
        <w:rPr>
          <w:rFonts w:ascii="Open Sans Light" w:hAnsi="Open Sans Light" w:cs="Open Sans Light"/>
          <w:b/>
          <w:bCs/>
          <w:iCs/>
        </w:rPr>
        <w:t>versione aggiornata</w:t>
      </w:r>
      <w:r w:rsidR="00005C36" w:rsidRPr="008154B4">
        <w:rPr>
          <w:rFonts w:ascii="Open Sans Light" w:hAnsi="Open Sans Light" w:cs="Open Sans Light"/>
          <w:iCs/>
        </w:rPr>
        <w:t xml:space="preserve"> è stata </w:t>
      </w:r>
      <w:r w:rsidR="00005C36" w:rsidRPr="0017512A">
        <w:rPr>
          <w:rFonts w:ascii="Open Sans Light" w:hAnsi="Open Sans Light" w:cs="Open Sans Light"/>
          <w:b/>
          <w:bCs/>
          <w:iCs/>
        </w:rPr>
        <w:t>allegata alla Circolare n. 33 del 13.10.2022</w:t>
      </w:r>
      <w:r w:rsidR="00005C36" w:rsidRPr="008154B4">
        <w:rPr>
          <w:rFonts w:ascii="Open Sans Light" w:hAnsi="Open Sans Light" w:cs="Open Sans Light"/>
          <w:iCs/>
        </w:rPr>
        <w:t xml:space="preserve">. </w:t>
      </w:r>
      <w:r w:rsidR="00005C36">
        <w:rPr>
          <w:rFonts w:ascii="Open Sans Light" w:hAnsi="Open Sans Light" w:cs="Open Sans Light"/>
          <w:iCs/>
        </w:rPr>
        <w:t xml:space="preserve">Nello specifico, all’interno delle </w:t>
      </w:r>
      <w:r w:rsidR="00005C36" w:rsidRPr="00397AE8">
        <w:rPr>
          <w:rFonts w:ascii="Open Sans Light" w:hAnsi="Open Sans Light" w:cs="Open Sans Light"/>
          <w:i/>
        </w:rPr>
        <w:t>checklist</w:t>
      </w:r>
      <w:r w:rsidR="00005C36">
        <w:rPr>
          <w:rFonts w:ascii="Open Sans Light" w:hAnsi="Open Sans Light" w:cs="Open Sans Light"/>
          <w:iCs/>
        </w:rPr>
        <w:t xml:space="preserve"> è riportato lo schema dei controlli richiesti al fine di dimostrare la conformità al DNSH. </w:t>
      </w:r>
      <w:r w:rsidR="00005C36" w:rsidRPr="00397AE8">
        <w:rPr>
          <w:rFonts w:ascii="Open Sans Light" w:hAnsi="Open Sans Light" w:cs="Open Sans Light"/>
          <w:iCs/>
        </w:rPr>
        <w:t>Le check list</w:t>
      </w:r>
      <w:r w:rsidR="00700675">
        <w:rPr>
          <w:rFonts w:ascii="Open Sans Light" w:hAnsi="Open Sans Light" w:cs="Open Sans Light"/>
          <w:iCs/>
        </w:rPr>
        <w:t>,</w:t>
      </w:r>
      <w:r w:rsidR="00005C36" w:rsidRPr="00397AE8">
        <w:rPr>
          <w:rFonts w:ascii="Open Sans Light" w:hAnsi="Open Sans Light" w:cs="Open Sans Light"/>
          <w:iCs/>
        </w:rPr>
        <w:t xml:space="preserve"> con la sintesi dei controlli</w:t>
      </w:r>
      <w:r w:rsidR="00700675">
        <w:rPr>
          <w:rFonts w:ascii="Open Sans Light" w:hAnsi="Open Sans Light" w:cs="Open Sans Light"/>
          <w:iCs/>
        </w:rPr>
        <w:t>,</w:t>
      </w:r>
      <w:r w:rsidR="00005C36" w:rsidRPr="00397AE8">
        <w:rPr>
          <w:rFonts w:ascii="Open Sans Light" w:hAnsi="Open Sans Light" w:cs="Open Sans Light"/>
          <w:iCs/>
        </w:rPr>
        <w:t xml:space="preserve"> potranno essere utilizzate anche per i cd. “progetti in essere”</w:t>
      </w:r>
      <w:r w:rsidR="00005C36">
        <w:rPr>
          <w:rFonts w:ascii="Open Sans Light" w:hAnsi="Open Sans Light" w:cs="Open Sans Light"/>
          <w:iCs/>
        </w:rPr>
        <w:t>.</w:t>
      </w:r>
      <w:r w:rsidR="00D1456E">
        <w:rPr>
          <w:rFonts w:ascii="Open Sans Light" w:hAnsi="Open Sans Light" w:cs="Open Sans Light"/>
          <w:iCs/>
        </w:rPr>
        <w:t xml:space="preserve"> </w:t>
      </w:r>
    </w:p>
    <w:p w14:paraId="71F47426" w14:textId="79B958B9" w:rsidR="002A717A" w:rsidRPr="002A717A" w:rsidRDefault="00005C36" w:rsidP="003D6611">
      <w:pPr>
        <w:spacing w:after="121" w:line="276" w:lineRule="auto"/>
        <w:ind w:left="454" w:right="454"/>
        <w:rPr>
          <w:rFonts w:ascii="Open Sans Light" w:hAnsi="Open Sans Light" w:cs="Open Sans Light"/>
        </w:rPr>
      </w:pPr>
      <w:r w:rsidRPr="00624894">
        <w:rPr>
          <w:rFonts w:ascii="Open Sans Light" w:hAnsi="Open Sans Light" w:cs="Open Sans Light"/>
        </w:rPr>
        <w:t xml:space="preserve">Come specificato nelle summenzionate Circolari del MEF, la </w:t>
      </w:r>
      <w:r w:rsidRPr="00624894">
        <w:rPr>
          <w:rFonts w:ascii="Open Sans Light" w:hAnsi="Open Sans Light" w:cs="Open Sans Light"/>
          <w:i/>
          <w:iCs/>
        </w:rPr>
        <w:t>Guida Operativa per il rispetto del principio di non arrecare danno significativo all’ambiente</w:t>
      </w:r>
      <w:r w:rsidRPr="00624894">
        <w:rPr>
          <w:rFonts w:ascii="Open Sans Light" w:hAnsi="Open Sans Light" w:cs="Open Sans Light"/>
        </w:rPr>
        <w:t xml:space="preserve"> non ha carattere esaustivo, restando in capo a tutti i soggetti coinvolti nell’attuazione (Direzioni generali – Soggetti attuatori – Soggetti realizzatori) la </w:t>
      </w:r>
      <w:r w:rsidRPr="00256E31">
        <w:rPr>
          <w:rFonts w:ascii="Open Sans Light" w:hAnsi="Open Sans Light" w:cs="Open Sans Light"/>
          <w:b/>
          <w:bCs/>
        </w:rPr>
        <w:t>disamina puntuale della normativa comunitaria, nazionale e/o regionale</w:t>
      </w:r>
      <w:r w:rsidRPr="00624894">
        <w:rPr>
          <w:rFonts w:ascii="Open Sans Light" w:hAnsi="Open Sans Light" w:cs="Open Sans Light"/>
        </w:rPr>
        <w:t xml:space="preserve">, al fine di individuare tutte le soluzioni tecniche/operative che garantiscano un’attuazione dell’investimento conforme al principio di non arrecare danno significativo </w:t>
      </w:r>
      <w:r w:rsidRPr="00256E31">
        <w:rPr>
          <w:rFonts w:ascii="Open Sans Light" w:hAnsi="Open Sans Light" w:cs="Open Sans Light"/>
          <w:b/>
          <w:bCs/>
        </w:rPr>
        <w:t>ai principi tassonomici di sostenibilità</w:t>
      </w:r>
      <w:r w:rsidR="002A717A">
        <w:rPr>
          <w:rFonts w:ascii="Open Sans Light" w:hAnsi="Open Sans Light" w:cs="Open Sans Light"/>
        </w:rPr>
        <w:t xml:space="preserve"> </w:t>
      </w:r>
      <w:r w:rsidRPr="00624894">
        <w:rPr>
          <w:rFonts w:ascii="Open Sans Light" w:hAnsi="Open Sans Light" w:cs="Open Sans Light"/>
        </w:rPr>
        <w:t>e alle ulteriori condizionalità trasversali, ove applicabili</w:t>
      </w:r>
      <w:bookmarkStart w:id="4" w:name="_Hlk146027667"/>
      <w:r w:rsidRPr="00624894">
        <w:rPr>
          <w:rStyle w:val="Rimandonotaapidipagina"/>
          <w:rFonts w:ascii="Open Sans Light" w:hAnsi="Open Sans Light" w:cs="Open Sans Light"/>
          <w:iCs/>
        </w:rPr>
        <w:footnoteReference w:id="6"/>
      </w:r>
      <w:bookmarkEnd w:id="4"/>
      <w:r w:rsidRPr="00624894">
        <w:rPr>
          <w:rFonts w:ascii="Open Sans Light" w:hAnsi="Open Sans Light" w:cs="Open Sans Light"/>
        </w:rPr>
        <w:t xml:space="preserve">, </w:t>
      </w:r>
      <w:r w:rsidR="00700675">
        <w:rPr>
          <w:rFonts w:ascii="Open Sans Light" w:hAnsi="Open Sans Light" w:cs="Open Sans Light"/>
        </w:rPr>
        <w:t xml:space="preserve"> </w:t>
      </w:r>
      <w:r w:rsidRPr="00624894">
        <w:rPr>
          <w:rFonts w:ascii="Open Sans Light" w:hAnsi="Open Sans Light" w:cs="Open Sans Light"/>
        </w:rPr>
        <w:t>garantendo, altresì, la piena osservanza della disciplina nazionale in materia ambientale (a titolo esemplificativo e non esaustivo, D. Lgs. 3 aprile 2006, n. 152 “Testo Unico Ambientale”, CAM-Criteri Ambientali Minimi per il settore edilizio - D.M. 11.10.2017</w:t>
      </w:r>
      <w:r w:rsidR="00AF1D17">
        <w:rPr>
          <w:rFonts w:ascii="Open Sans Light" w:hAnsi="Open Sans Light" w:cs="Open Sans Light"/>
        </w:rPr>
        <w:t xml:space="preserve"> e </w:t>
      </w:r>
      <w:r w:rsidR="00357C64" w:rsidRPr="00357C64">
        <w:rPr>
          <w:rFonts w:ascii="Open Sans Light" w:hAnsi="Open Sans Light" w:cs="Open Sans Light"/>
        </w:rPr>
        <w:t>rispetto dei Criteri Ambientali Minimi (CAM) per l'edilizia approvati con DM 23 giugno 2022 n. 256, GURI n. 183 del 6 agosto 2022</w:t>
      </w:r>
      <w:r w:rsidRPr="00624894">
        <w:rPr>
          <w:rFonts w:ascii="Open Sans Light" w:hAnsi="Open Sans Light" w:cs="Open Sans Light"/>
        </w:rPr>
        <w:t>).</w:t>
      </w:r>
      <w:r w:rsidR="00AA4597">
        <w:rPr>
          <w:rFonts w:ascii="Open Sans Light" w:hAnsi="Open Sans Light" w:cs="Open Sans Light"/>
        </w:rPr>
        <w:t xml:space="preserve"> </w:t>
      </w:r>
      <w:r w:rsidR="00FE57B4" w:rsidRPr="00FE57B4">
        <w:rPr>
          <w:rFonts w:ascii="Open Sans Light" w:hAnsi="Open Sans Light" w:cs="Open Sans Light"/>
        </w:rPr>
        <w:t xml:space="preserve">Nello specifico, il rispetto </w:t>
      </w:r>
      <w:r w:rsidR="008C482E" w:rsidRPr="00FE57B4">
        <w:rPr>
          <w:rFonts w:ascii="Open Sans Light" w:hAnsi="Open Sans Light" w:cs="Open Sans Light"/>
        </w:rPr>
        <w:t>dei Criteri</w:t>
      </w:r>
      <w:r w:rsidR="00FE57B4" w:rsidRPr="00FE57B4">
        <w:rPr>
          <w:rFonts w:ascii="Open Sans Light" w:hAnsi="Open Sans Light" w:cs="Open Sans Light"/>
        </w:rPr>
        <w:t xml:space="preserve"> Ambientali Minimi (CAM</w:t>
      </w:r>
      <w:r w:rsidR="00E42D73">
        <w:rPr>
          <w:rFonts w:ascii="Open Sans Light" w:hAnsi="Open Sans Light" w:cs="Open Sans Light"/>
        </w:rPr>
        <w:t xml:space="preserve"> 2022</w:t>
      </w:r>
      <w:r w:rsidR="00FE57B4" w:rsidRPr="00FE57B4">
        <w:rPr>
          <w:rFonts w:ascii="Open Sans Light" w:hAnsi="Open Sans Light" w:cs="Open Sans Light"/>
        </w:rPr>
        <w:t>)</w:t>
      </w:r>
      <w:r w:rsidR="002A717A" w:rsidRPr="002A717A">
        <w:rPr>
          <w:rFonts w:ascii="Open Sans Light" w:hAnsi="Open Sans Light" w:cs="Open Sans Light"/>
        </w:rPr>
        <w:t xml:space="preserve"> comporta </w:t>
      </w:r>
      <w:r w:rsidR="001041A0">
        <w:rPr>
          <w:rFonts w:ascii="Open Sans Light" w:hAnsi="Open Sans Light" w:cs="Open Sans Light"/>
        </w:rPr>
        <w:t>una compliance auto</w:t>
      </w:r>
      <w:r w:rsidR="002A717A" w:rsidRPr="002A717A">
        <w:rPr>
          <w:rFonts w:ascii="Open Sans Light" w:hAnsi="Open Sans Light" w:cs="Open Sans Light"/>
        </w:rPr>
        <w:t>matic</w:t>
      </w:r>
      <w:r w:rsidR="001041A0">
        <w:rPr>
          <w:rFonts w:ascii="Open Sans Light" w:hAnsi="Open Sans Light" w:cs="Open Sans Light"/>
        </w:rPr>
        <w:t>a</w:t>
      </w:r>
      <w:r w:rsidR="002A717A" w:rsidRPr="002A717A">
        <w:rPr>
          <w:rFonts w:ascii="Open Sans Light" w:hAnsi="Open Sans Light" w:cs="Open Sans Light"/>
        </w:rPr>
        <w:t xml:space="preserve"> di alcuni dei vincoli DNSH previsti per le attività di costruzione (scheda 1</w:t>
      </w:r>
      <w:r w:rsidR="004621D4" w:rsidRPr="002A717A">
        <w:rPr>
          <w:rFonts w:ascii="Open Sans Light" w:hAnsi="Open Sans Light" w:cs="Open Sans Light"/>
        </w:rPr>
        <w:t>)</w:t>
      </w:r>
      <w:r w:rsidR="004621D4">
        <w:rPr>
          <w:rFonts w:ascii="Open Sans Light" w:hAnsi="Open Sans Light" w:cs="Open Sans Light"/>
        </w:rPr>
        <w:t xml:space="preserve">, </w:t>
      </w:r>
      <w:r w:rsidR="004621D4" w:rsidRPr="002A717A">
        <w:rPr>
          <w:rFonts w:ascii="Open Sans Light" w:hAnsi="Open Sans Light" w:cs="Open Sans Light"/>
        </w:rPr>
        <w:t>ristrutturazione</w:t>
      </w:r>
      <w:r w:rsidR="003237BB">
        <w:rPr>
          <w:rFonts w:ascii="Open Sans Light" w:hAnsi="Open Sans Light" w:cs="Open Sans Light"/>
        </w:rPr>
        <w:t xml:space="preserve"> </w:t>
      </w:r>
      <w:r w:rsidR="003237BB" w:rsidRPr="002A717A">
        <w:rPr>
          <w:rFonts w:ascii="Open Sans Light" w:hAnsi="Open Sans Light" w:cs="Open Sans Light"/>
        </w:rPr>
        <w:t>degli edifici</w:t>
      </w:r>
      <w:r w:rsidR="002A717A" w:rsidRPr="002A717A">
        <w:rPr>
          <w:rFonts w:ascii="Open Sans Light" w:hAnsi="Open Sans Light" w:cs="Open Sans Light"/>
        </w:rPr>
        <w:t xml:space="preserve"> (</w:t>
      </w:r>
      <w:r w:rsidR="002A717A" w:rsidRPr="00DF2E1F">
        <w:rPr>
          <w:rFonts w:ascii="Open Sans Light" w:hAnsi="Open Sans Light" w:cs="Open Sans Light"/>
        </w:rPr>
        <w:t>scheda 2)</w:t>
      </w:r>
      <w:r w:rsidR="003237BB" w:rsidRPr="00DF2E1F">
        <w:rPr>
          <w:rFonts w:ascii="Open Sans Light" w:hAnsi="Open Sans Light" w:cs="Open Sans Light"/>
        </w:rPr>
        <w:t xml:space="preserve"> e</w:t>
      </w:r>
      <w:r w:rsidR="005B5D16" w:rsidRPr="00DF2E1F">
        <w:rPr>
          <w:rFonts w:ascii="Open Sans Light" w:hAnsi="Open Sans Light" w:cs="Open Sans Light"/>
        </w:rPr>
        <w:t xml:space="preserve"> produzione di energia elettrica da pannelli solari</w:t>
      </w:r>
      <w:r w:rsidR="00DF2E1F" w:rsidRPr="00DF2E1F">
        <w:rPr>
          <w:rFonts w:ascii="Open Sans Light" w:hAnsi="Open Sans Light" w:cs="Open Sans Light"/>
        </w:rPr>
        <w:t xml:space="preserve"> (scheda 12)</w:t>
      </w:r>
      <w:r w:rsidR="002A717A" w:rsidRPr="00DF2E1F">
        <w:rPr>
          <w:rFonts w:ascii="Open Sans Light" w:hAnsi="Open Sans Light" w:cs="Open Sans Light"/>
        </w:rPr>
        <w:t>. Tuttavia, il Regolamento sulla Tassonomia,</w:t>
      </w:r>
      <w:r w:rsidR="002A717A" w:rsidRPr="002A717A">
        <w:rPr>
          <w:rFonts w:ascii="Open Sans Light" w:hAnsi="Open Sans Light" w:cs="Open Sans Light"/>
        </w:rPr>
        <w:t xml:space="preserve"> e di conseguenza il principio DNSH, introducono ulteriori aspetti che non sono verificati automaticamente con il rispetto dei CAM, quali ad es</w:t>
      </w:r>
      <w:r w:rsidR="00F41BFC">
        <w:rPr>
          <w:rFonts w:ascii="Open Sans Light" w:hAnsi="Open Sans Light" w:cs="Open Sans Light"/>
        </w:rPr>
        <w:t>.</w:t>
      </w:r>
      <w:r w:rsidR="002A717A" w:rsidRPr="002A717A">
        <w:rPr>
          <w:rFonts w:ascii="Open Sans Light" w:hAnsi="Open Sans Light" w:cs="Open Sans Light"/>
        </w:rPr>
        <w:t>:</w:t>
      </w:r>
    </w:p>
    <w:p w14:paraId="4A18DC9A" w14:textId="18B78484" w:rsidR="002A717A" w:rsidRPr="00700675" w:rsidRDefault="00FE57B4" w:rsidP="00700675">
      <w:pPr>
        <w:pStyle w:val="Paragrafoelenco"/>
        <w:numPr>
          <w:ilvl w:val="0"/>
          <w:numId w:val="29"/>
        </w:numPr>
        <w:spacing w:after="121" w:line="276" w:lineRule="auto"/>
        <w:ind w:right="454"/>
        <w:rPr>
          <w:rFonts w:ascii="Open Sans Light" w:hAnsi="Open Sans Light" w:cs="Open Sans Light"/>
        </w:rPr>
      </w:pPr>
      <w:r w:rsidRPr="00700675">
        <w:rPr>
          <w:rFonts w:ascii="Open Sans Light" w:hAnsi="Open Sans Light" w:cs="Open Sans Light"/>
        </w:rPr>
        <w:t>i</w:t>
      </w:r>
      <w:r w:rsidR="002A717A" w:rsidRPr="00700675">
        <w:rPr>
          <w:rFonts w:ascii="Open Sans Light" w:hAnsi="Open Sans Light" w:cs="Open Sans Light"/>
        </w:rPr>
        <w:t>dentificazione delle attività volte al contributo sostanziale ai 6 obiettivi ambientali;</w:t>
      </w:r>
    </w:p>
    <w:p w14:paraId="2571F268" w14:textId="536383BC" w:rsidR="002A717A" w:rsidRPr="00700675" w:rsidRDefault="00FE57B4" w:rsidP="00700675">
      <w:pPr>
        <w:pStyle w:val="Paragrafoelenco"/>
        <w:numPr>
          <w:ilvl w:val="0"/>
          <w:numId w:val="29"/>
        </w:numPr>
        <w:spacing w:after="121" w:line="276" w:lineRule="auto"/>
        <w:ind w:right="454"/>
        <w:rPr>
          <w:rFonts w:ascii="Open Sans Light" w:hAnsi="Open Sans Light" w:cs="Open Sans Light"/>
        </w:rPr>
      </w:pPr>
      <w:r w:rsidRPr="00700675">
        <w:rPr>
          <w:rFonts w:ascii="Open Sans Light" w:hAnsi="Open Sans Light" w:cs="Open Sans Light"/>
        </w:rPr>
        <w:t>a</w:t>
      </w:r>
      <w:r w:rsidR="002A717A" w:rsidRPr="00700675">
        <w:rPr>
          <w:rFonts w:ascii="Open Sans Light" w:hAnsi="Open Sans Light" w:cs="Open Sans Light"/>
        </w:rPr>
        <w:t>spetti specifici quali, ad esempio, la valutazione del rischio climatico e della vulnerabilità.</w:t>
      </w:r>
    </w:p>
    <w:p w14:paraId="0A646DF5" w14:textId="6788A97F" w:rsidR="00934C6F" w:rsidRPr="00F41BFC" w:rsidRDefault="00F41BFC" w:rsidP="00E404C2">
      <w:pPr>
        <w:spacing w:after="121" w:line="276" w:lineRule="auto"/>
        <w:ind w:left="444" w:right="454" w:firstLine="0"/>
        <w:rPr>
          <w:rFonts w:ascii="Open Sans Light" w:hAnsi="Open Sans Light" w:cs="Open Sans Light"/>
          <w:iCs/>
        </w:rPr>
      </w:pPr>
      <w:r w:rsidRPr="00934C6F">
        <w:rPr>
          <w:rFonts w:ascii="Open Sans Light" w:hAnsi="Open Sans Light" w:cs="Open Sans Light"/>
          <w:iCs/>
        </w:rPr>
        <w:t>Segue una Tabella</w:t>
      </w:r>
      <w:r w:rsidRPr="00F41BFC">
        <w:rPr>
          <w:rFonts w:ascii="Open Sans Light" w:hAnsi="Open Sans Light" w:cs="Open Sans Light"/>
          <w:iCs/>
        </w:rPr>
        <w:t xml:space="preserve"> rappresentativa del</w:t>
      </w:r>
      <w:r w:rsidR="00C17396">
        <w:rPr>
          <w:rFonts w:ascii="Open Sans Light" w:hAnsi="Open Sans Light" w:cs="Open Sans Light"/>
          <w:iCs/>
        </w:rPr>
        <w:t>la</w:t>
      </w:r>
      <w:r w:rsidRPr="00F41BFC">
        <w:rPr>
          <w:rFonts w:ascii="Open Sans Light" w:hAnsi="Open Sans Light" w:cs="Open Sans Light"/>
          <w:iCs/>
        </w:rPr>
        <w:t xml:space="preserve"> misur</w:t>
      </w:r>
      <w:r w:rsidR="00C17396">
        <w:rPr>
          <w:rFonts w:ascii="Open Sans Light" w:hAnsi="Open Sans Light" w:cs="Open Sans Light"/>
          <w:iCs/>
        </w:rPr>
        <w:t>a</w:t>
      </w:r>
      <w:r w:rsidRPr="00F41BFC">
        <w:rPr>
          <w:rFonts w:ascii="Open Sans Light" w:hAnsi="Open Sans Light" w:cs="Open Sans Light"/>
          <w:iCs/>
        </w:rPr>
        <w:t xml:space="preserve"> di competenza del Ministero, con indicazione</w:t>
      </w:r>
      <w:r w:rsidRPr="00E404C2">
        <w:rPr>
          <w:rFonts w:ascii="Open Sans Light" w:hAnsi="Open Sans Light" w:cs="Open Sans Light"/>
          <w:strike/>
          <w:highlight w:val="yellow"/>
        </w:rPr>
        <w:t>,</w:t>
      </w:r>
      <w:r w:rsidRPr="00F41BFC">
        <w:rPr>
          <w:rFonts w:ascii="Open Sans Light" w:hAnsi="Open Sans Light" w:cs="Open Sans Light"/>
          <w:iCs/>
        </w:rPr>
        <w:t xml:space="preserve"> del Regime applicabile, delle Schede tecniche individuate come pertinenti dalla Circolare MEF - RGS n. 33 del 13 ottobre 2022 e delle corrispondenti Check List di riferimento</w:t>
      </w:r>
      <w:r w:rsidR="001A3034">
        <w:rPr>
          <w:rFonts w:ascii="Open Sans Light" w:hAnsi="Open Sans Light" w:cs="Open Sans Light"/>
          <w:iCs/>
        </w:rPr>
        <w:t>, nelle quali</w:t>
      </w:r>
      <w:r w:rsidR="00032CD0">
        <w:rPr>
          <w:rFonts w:ascii="Open Sans Light" w:hAnsi="Open Sans Light" w:cs="Open Sans Light"/>
          <w:iCs/>
        </w:rPr>
        <w:t xml:space="preserve"> </w:t>
      </w:r>
      <w:r w:rsidR="001A3034">
        <w:rPr>
          <w:rFonts w:ascii="Open Sans Light" w:hAnsi="Open Sans Light" w:cs="Open Sans Light"/>
          <w:iCs/>
        </w:rPr>
        <w:t>sono stati inseriti anche i riferimenti ai CAM</w:t>
      </w:r>
      <w:r w:rsidRPr="00F41BFC">
        <w:rPr>
          <w:rFonts w:ascii="Open Sans Light" w:hAnsi="Open Sans Light" w:cs="Open Sans Light"/>
          <w:iCs/>
        </w:rPr>
        <w:t>. Si rimanda ai paragrafi successivi e agli allegati al presente documento per l’approfondimento dei relativi aspetti (Schede tecniche e Check List).</w:t>
      </w:r>
    </w:p>
    <w:tbl>
      <w:tblPr>
        <w:tblW w:w="11189" w:type="dxa"/>
        <w:tblCellMar>
          <w:left w:w="70" w:type="dxa"/>
          <w:right w:w="70" w:type="dxa"/>
        </w:tblCellMar>
        <w:tblLook w:val="04A0" w:firstRow="1" w:lastRow="0" w:firstColumn="1" w:lastColumn="0" w:noHBand="0" w:noVBand="1"/>
      </w:tblPr>
      <w:tblGrid>
        <w:gridCol w:w="1015"/>
        <w:gridCol w:w="1558"/>
        <w:gridCol w:w="2567"/>
        <w:gridCol w:w="959"/>
        <w:gridCol w:w="2107"/>
        <w:gridCol w:w="2983"/>
      </w:tblGrid>
      <w:tr w:rsidR="00934C6F" w:rsidRPr="00934C6F" w14:paraId="51AA99B6" w14:textId="77777777" w:rsidTr="00C222AA">
        <w:trPr>
          <w:trHeight w:val="670"/>
        </w:trPr>
        <w:tc>
          <w:tcPr>
            <w:tcW w:w="960" w:type="dxa"/>
            <w:tcBorders>
              <w:top w:val="single" w:sz="8" w:space="0" w:color="BFBFBF"/>
              <w:left w:val="single" w:sz="8" w:space="0" w:color="BFBFBF"/>
              <w:bottom w:val="single" w:sz="8" w:space="0" w:color="BFBFBF"/>
              <w:right w:val="single" w:sz="8" w:space="0" w:color="BFBFBF"/>
            </w:tcBorders>
            <w:shd w:val="clear" w:color="000000" w:fill="E7E6E6"/>
            <w:vAlign w:val="center"/>
            <w:hideMark/>
          </w:tcPr>
          <w:p w14:paraId="560847E9" w14:textId="00DB5EE2" w:rsidR="00934C6F" w:rsidRPr="00934C6F" w:rsidRDefault="00D43D24" w:rsidP="00934C6F">
            <w:pPr>
              <w:spacing w:after="0" w:line="240" w:lineRule="auto"/>
              <w:ind w:left="0" w:right="0" w:firstLine="0"/>
              <w:jc w:val="left"/>
              <w:rPr>
                <w:rFonts w:ascii="Open Sans Light" w:eastAsia="Times New Roman" w:hAnsi="Open Sans Light" w:cs="Open Sans Light"/>
                <w:b/>
                <w:bCs/>
              </w:rPr>
            </w:pPr>
            <w:r w:rsidRPr="00934C6F">
              <w:rPr>
                <w:rFonts w:ascii="Open Sans Light" w:eastAsia="Times New Roman" w:hAnsi="Open Sans Light" w:cs="Open Sans Light"/>
                <w:b/>
                <w:bCs/>
              </w:rPr>
              <w:t>Mis</w:t>
            </w:r>
            <w:r>
              <w:rPr>
                <w:rFonts w:ascii="Open Sans Light" w:eastAsia="Times New Roman" w:hAnsi="Open Sans Light" w:cs="Open Sans Light"/>
                <w:b/>
                <w:bCs/>
              </w:rPr>
              <w:t>sione</w:t>
            </w:r>
          </w:p>
        </w:tc>
        <w:tc>
          <w:tcPr>
            <w:tcW w:w="1560" w:type="dxa"/>
            <w:tcBorders>
              <w:top w:val="single" w:sz="8" w:space="0" w:color="BFBFBF"/>
              <w:left w:val="nil"/>
              <w:bottom w:val="single" w:sz="8" w:space="0" w:color="BFBFBF"/>
              <w:right w:val="single" w:sz="8" w:space="0" w:color="BFBFBF"/>
            </w:tcBorders>
            <w:shd w:val="clear" w:color="000000" w:fill="E7E6E6"/>
            <w:vAlign w:val="center"/>
            <w:hideMark/>
          </w:tcPr>
          <w:p w14:paraId="16BBAAAF" w14:textId="77777777" w:rsidR="00934C6F" w:rsidRPr="00934C6F" w:rsidRDefault="00934C6F" w:rsidP="00934C6F">
            <w:pPr>
              <w:spacing w:after="0" w:line="240" w:lineRule="auto"/>
              <w:ind w:left="0" w:right="0" w:firstLine="0"/>
              <w:jc w:val="left"/>
              <w:rPr>
                <w:rFonts w:ascii="Open Sans Light" w:eastAsia="Times New Roman" w:hAnsi="Open Sans Light" w:cs="Open Sans Light"/>
                <w:b/>
                <w:bCs/>
              </w:rPr>
            </w:pPr>
            <w:r w:rsidRPr="00934C6F">
              <w:rPr>
                <w:rFonts w:ascii="Open Sans Light" w:eastAsia="Times New Roman" w:hAnsi="Open Sans Light" w:cs="Open Sans Light"/>
                <w:b/>
                <w:bCs/>
              </w:rPr>
              <w:t>Componente</w:t>
            </w:r>
          </w:p>
        </w:tc>
        <w:tc>
          <w:tcPr>
            <w:tcW w:w="2580" w:type="dxa"/>
            <w:tcBorders>
              <w:top w:val="single" w:sz="8" w:space="0" w:color="BFBFBF"/>
              <w:left w:val="nil"/>
              <w:bottom w:val="nil"/>
              <w:right w:val="single" w:sz="8" w:space="0" w:color="BFBFBF"/>
            </w:tcBorders>
            <w:shd w:val="clear" w:color="000000" w:fill="E7E6E6"/>
            <w:vAlign w:val="center"/>
            <w:hideMark/>
          </w:tcPr>
          <w:p w14:paraId="388FCAC6" w14:textId="77777777" w:rsidR="00934C6F" w:rsidRPr="00934C6F" w:rsidRDefault="00934C6F" w:rsidP="00934C6F">
            <w:pPr>
              <w:spacing w:after="0" w:line="240" w:lineRule="auto"/>
              <w:ind w:left="0" w:right="0" w:firstLine="0"/>
              <w:jc w:val="left"/>
              <w:rPr>
                <w:rFonts w:ascii="Open Sans Light" w:eastAsia="Times New Roman" w:hAnsi="Open Sans Light" w:cs="Open Sans Light"/>
                <w:b/>
                <w:bCs/>
              </w:rPr>
            </w:pPr>
            <w:r w:rsidRPr="00934C6F">
              <w:rPr>
                <w:rFonts w:ascii="Open Sans Light" w:eastAsia="Times New Roman" w:hAnsi="Open Sans Light" w:cs="Open Sans Light"/>
                <w:b/>
                <w:bCs/>
              </w:rPr>
              <w:t>Investimento / Riforma</w:t>
            </w:r>
          </w:p>
        </w:tc>
        <w:tc>
          <w:tcPr>
            <w:tcW w:w="960" w:type="dxa"/>
            <w:tcBorders>
              <w:top w:val="single" w:sz="8" w:space="0" w:color="BFBFBF"/>
              <w:left w:val="nil"/>
              <w:bottom w:val="single" w:sz="8" w:space="0" w:color="BFBFBF"/>
              <w:right w:val="single" w:sz="8" w:space="0" w:color="BFBFBF"/>
            </w:tcBorders>
            <w:shd w:val="clear" w:color="000000" w:fill="E7E6E6"/>
            <w:vAlign w:val="center"/>
            <w:hideMark/>
          </w:tcPr>
          <w:p w14:paraId="7F62E78A" w14:textId="77777777" w:rsidR="00934C6F" w:rsidRPr="00934C6F" w:rsidRDefault="00934C6F" w:rsidP="00934C6F">
            <w:pPr>
              <w:spacing w:after="0" w:line="240" w:lineRule="auto"/>
              <w:ind w:left="0" w:right="0" w:firstLine="0"/>
              <w:jc w:val="left"/>
              <w:rPr>
                <w:rFonts w:ascii="Open Sans Light" w:eastAsia="Times New Roman" w:hAnsi="Open Sans Light" w:cs="Open Sans Light"/>
                <w:b/>
                <w:bCs/>
              </w:rPr>
            </w:pPr>
            <w:r w:rsidRPr="00934C6F">
              <w:rPr>
                <w:rFonts w:ascii="Open Sans Light" w:eastAsia="Times New Roman" w:hAnsi="Open Sans Light" w:cs="Open Sans Light"/>
                <w:b/>
                <w:bCs/>
              </w:rPr>
              <w:t xml:space="preserve">Regime </w:t>
            </w:r>
          </w:p>
        </w:tc>
        <w:tc>
          <w:tcPr>
            <w:tcW w:w="2120" w:type="dxa"/>
            <w:tcBorders>
              <w:top w:val="single" w:sz="8" w:space="0" w:color="BFBFBF"/>
              <w:left w:val="nil"/>
              <w:bottom w:val="single" w:sz="8" w:space="0" w:color="BFBFBF"/>
              <w:right w:val="single" w:sz="8" w:space="0" w:color="BFBFBF"/>
            </w:tcBorders>
            <w:shd w:val="clear" w:color="000000" w:fill="E7E6E6"/>
            <w:vAlign w:val="center"/>
            <w:hideMark/>
          </w:tcPr>
          <w:p w14:paraId="1059A2A1" w14:textId="77777777" w:rsidR="00934C6F" w:rsidRPr="00934C6F" w:rsidRDefault="00934C6F" w:rsidP="00934C6F">
            <w:pPr>
              <w:spacing w:after="0" w:line="240" w:lineRule="auto"/>
              <w:ind w:left="0" w:right="0" w:firstLine="0"/>
              <w:jc w:val="left"/>
              <w:rPr>
                <w:rFonts w:ascii="Open Sans Light" w:eastAsia="Times New Roman" w:hAnsi="Open Sans Light" w:cs="Open Sans Light"/>
                <w:b/>
                <w:bCs/>
              </w:rPr>
            </w:pPr>
            <w:r w:rsidRPr="00934C6F">
              <w:rPr>
                <w:rFonts w:ascii="Open Sans Light" w:eastAsia="Times New Roman" w:hAnsi="Open Sans Light" w:cs="Open Sans Light"/>
                <w:b/>
                <w:bCs/>
              </w:rPr>
              <w:t>Schede tecniche</w:t>
            </w:r>
          </w:p>
        </w:tc>
        <w:tc>
          <w:tcPr>
            <w:tcW w:w="3009" w:type="dxa"/>
            <w:tcBorders>
              <w:top w:val="single" w:sz="8" w:space="0" w:color="BFBFBF"/>
              <w:left w:val="nil"/>
              <w:bottom w:val="single" w:sz="8" w:space="0" w:color="BFBFBF"/>
              <w:right w:val="single" w:sz="8" w:space="0" w:color="BFBFBF"/>
            </w:tcBorders>
            <w:shd w:val="clear" w:color="000000" w:fill="E7E6E6"/>
            <w:vAlign w:val="center"/>
            <w:hideMark/>
          </w:tcPr>
          <w:p w14:paraId="59C0B9F4" w14:textId="77777777" w:rsidR="00934C6F" w:rsidRPr="00934C6F" w:rsidRDefault="00934C6F" w:rsidP="00934C6F">
            <w:pPr>
              <w:spacing w:after="0" w:line="240" w:lineRule="auto"/>
              <w:ind w:left="0" w:right="0" w:firstLine="0"/>
              <w:jc w:val="left"/>
              <w:rPr>
                <w:rFonts w:ascii="Open Sans Light" w:eastAsia="Times New Roman" w:hAnsi="Open Sans Light" w:cs="Open Sans Light"/>
                <w:b/>
                <w:bCs/>
              </w:rPr>
            </w:pPr>
            <w:r w:rsidRPr="00934C6F">
              <w:rPr>
                <w:rFonts w:ascii="Open Sans Light" w:eastAsia="Times New Roman" w:hAnsi="Open Sans Light" w:cs="Open Sans Light"/>
                <w:b/>
                <w:bCs/>
              </w:rPr>
              <w:t>Check List</w:t>
            </w:r>
          </w:p>
        </w:tc>
      </w:tr>
      <w:tr w:rsidR="00934C6F" w:rsidRPr="00E404C2" w14:paraId="6D7C0832" w14:textId="77777777" w:rsidTr="00C222AA">
        <w:trPr>
          <w:trHeight w:val="520"/>
        </w:trPr>
        <w:tc>
          <w:tcPr>
            <w:tcW w:w="960" w:type="dxa"/>
            <w:tcBorders>
              <w:top w:val="nil"/>
              <w:left w:val="single" w:sz="8" w:space="0" w:color="BFBFBF"/>
              <w:bottom w:val="nil"/>
              <w:right w:val="single" w:sz="8" w:space="0" w:color="BFBFBF"/>
            </w:tcBorders>
            <w:shd w:val="clear" w:color="000000" w:fill="EFF5FB"/>
            <w:vAlign w:val="center"/>
            <w:hideMark/>
          </w:tcPr>
          <w:p w14:paraId="18D7AD51" w14:textId="38F93044" w:rsidR="00934C6F" w:rsidRPr="00934C6F" w:rsidRDefault="00934C6F" w:rsidP="00934C6F">
            <w:pPr>
              <w:spacing w:after="0" w:line="240" w:lineRule="auto"/>
              <w:ind w:left="0" w:right="0" w:firstLine="0"/>
              <w:jc w:val="center"/>
              <w:rPr>
                <w:rFonts w:ascii="Open Sans Light" w:eastAsia="Times New Roman" w:hAnsi="Open Sans Light" w:cs="Open Sans Light"/>
                <w:b/>
                <w:bCs/>
                <w:sz w:val="18"/>
                <w:szCs w:val="18"/>
              </w:rPr>
            </w:pPr>
            <w:r w:rsidRPr="00934C6F">
              <w:rPr>
                <w:rFonts w:ascii="Open Sans Light" w:eastAsia="Times New Roman" w:hAnsi="Open Sans Light" w:cs="Open Sans Light"/>
                <w:b/>
                <w:bCs/>
                <w:sz w:val="18"/>
                <w:szCs w:val="18"/>
              </w:rPr>
              <w:lastRenderedPageBreak/>
              <w:t>M</w:t>
            </w:r>
            <w:r w:rsidR="00BB6757">
              <w:rPr>
                <w:rFonts w:ascii="Open Sans Light" w:eastAsia="Times New Roman" w:hAnsi="Open Sans Light" w:cs="Open Sans Light"/>
                <w:b/>
                <w:bCs/>
                <w:sz w:val="18"/>
                <w:szCs w:val="18"/>
              </w:rPr>
              <w:t>2</w:t>
            </w:r>
          </w:p>
        </w:tc>
        <w:tc>
          <w:tcPr>
            <w:tcW w:w="1560" w:type="dxa"/>
            <w:tcBorders>
              <w:top w:val="nil"/>
              <w:left w:val="nil"/>
              <w:bottom w:val="nil"/>
              <w:right w:val="nil"/>
            </w:tcBorders>
            <w:shd w:val="clear" w:color="000000" w:fill="DEEAF6"/>
            <w:vAlign w:val="center"/>
            <w:hideMark/>
          </w:tcPr>
          <w:p w14:paraId="2520B9DE" w14:textId="4F797334" w:rsidR="00934C6F" w:rsidRPr="00934C6F" w:rsidRDefault="00934C6F" w:rsidP="00934C6F">
            <w:pPr>
              <w:spacing w:after="0" w:line="240" w:lineRule="auto"/>
              <w:ind w:left="0" w:right="0" w:firstLine="0"/>
              <w:jc w:val="center"/>
              <w:rPr>
                <w:rFonts w:ascii="Open Sans Light" w:eastAsia="Times New Roman" w:hAnsi="Open Sans Light" w:cs="Open Sans Light"/>
                <w:b/>
                <w:bCs/>
                <w:sz w:val="18"/>
                <w:szCs w:val="18"/>
              </w:rPr>
            </w:pPr>
            <w:r w:rsidRPr="00934C6F">
              <w:rPr>
                <w:rFonts w:ascii="Open Sans Light" w:eastAsia="Times New Roman" w:hAnsi="Open Sans Light" w:cs="Open Sans Light"/>
                <w:b/>
                <w:bCs/>
                <w:sz w:val="18"/>
                <w:szCs w:val="18"/>
              </w:rPr>
              <w:t>C</w:t>
            </w:r>
            <w:r w:rsidR="00BB6757">
              <w:rPr>
                <w:rFonts w:ascii="Open Sans Light" w:eastAsia="Times New Roman" w:hAnsi="Open Sans Light" w:cs="Open Sans Light"/>
                <w:b/>
                <w:bCs/>
                <w:sz w:val="18"/>
                <w:szCs w:val="18"/>
              </w:rPr>
              <w:t>3</w:t>
            </w:r>
          </w:p>
        </w:tc>
        <w:tc>
          <w:tcPr>
            <w:tcW w:w="2580" w:type="dxa"/>
            <w:tcBorders>
              <w:top w:val="nil"/>
              <w:left w:val="nil"/>
              <w:bottom w:val="single" w:sz="4" w:space="0" w:color="808080"/>
              <w:right w:val="single" w:sz="8" w:space="0" w:color="BFBFBF"/>
            </w:tcBorders>
            <w:shd w:val="clear" w:color="auto" w:fill="auto"/>
            <w:vAlign w:val="center"/>
            <w:hideMark/>
          </w:tcPr>
          <w:p w14:paraId="73875163" w14:textId="4252A020" w:rsidR="00934C6F" w:rsidRPr="00934C6F" w:rsidRDefault="00BB6757" w:rsidP="00934C6F">
            <w:pPr>
              <w:spacing w:after="0" w:line="240" w:lineRule="auto"/>
              <w:ind w:left="0" w:right="0" w:firstLine="0"/>
              <w:jc w:val="left"/>
              <w:rPr>
                <w:rFonts w:ascii="Open Sans Light" w:eastAsia="Times New Roman" w:hAnsi="Open Sans Light" w:cs="Open Sans Light"/>
                <w:color w:val="auto"/>
                <w:sz w:val="18"/>
                <w:szCs w:val="18"/>
              </w:rPr>
            </w:pPr>
            <w:r>
              <w:rPr>
                <w:rFonts w:ascii="Open Sans Light" w:eastAsia="Times New Roman" w:hAnsi="Open Sans Light" w:cs="Open Sans Light"/>
                <w:b/>
                <w:bCs/>
                <w:color w:val="auto"/>
                <w:sz w:val="18"/>
                <w:szCs w:val="18"/>
              </w:rPr>
              <w:t>I</w:t>
            </w:r>
            <w:r w:rsidR="00934C6F" w:rsidRPr="00934C6F">
              <w:rPr>
                <w:rFonts w:ascii="Open Sans Light" w:eastAsia="Times New Roman" w:hAnsi="Open Sans Light" w:cs="Open Sans Light"/>
                <w:b/>
                <w:bCs/>
                <w:color w:val="auto"/>
                <w:sz w:val="18"/>
                <w:szCs w:val="18"/>
              </w:rPr>
              <w:t>1.</w:t>
            </w:r>
            <w:r>
              <w:rPr>
                <w:rFonts w:ascii="Open Sans Light" w:eastAsia="Times New Roman" w:hAnsi="Open Sans Light" w:cs="Open Sans Light"/>
                <w:b/>
                <w:bCs/>
                <w:color w:val="auto"/>
                <w:sz w:val="18"/>
                <w:szCs w:val="18"/>
              </w:rPr>
              <w:t>2</w:t>
            </w:r>
            <w:r w:rsidR="00934C6F" w:rsidRPr="00934C6F">
              <w:rPr>
                <w:rFonts w:ascii="Open Sans Light" w:eastAsia="Times New Roman" w:hAnsi="Open Sans Light" w:cs="Open Sans Light"/>
                <w:color w:val="auto"/>
                <w:sz w:val="18"/>
                <w:szCs w:val="18"/>
              </w:rPr>
              <w:t xml:space="preserve">: </w:t>
            </w:r>
            <w:r w:rsidR="00764C9A">
              <w:rPr>
                <w:rFonts w:ascii="Open Sans Light" w:eastAsia="Times New Roman" w:hAnsi="Open Sans Light" w:cs="Open Sans Light"/>
                <w:color w:val="auto"/>
                <w:sz w:val="18"/>
                <w:szCs w:val="18"/>
              </w:rPr>
              <w:t xml:space="preserve">Efficientamento degli uffici giudiziari </w:t>
            </w:r>
          </w:p>
        </w:tc>
        <w:tc>
          <w:tcPr>
            <w:tcW w:w="960" w:type="dxa"/>
            <w:tcBorders>
              <w:top w:val="nil"/>
              <w:left w:val="nil"/>
              <w:bottom w:val="single" w:sz="4" w:space="0" w:color="808080"/>
              <w:right w:val="single" w:sz="8" w:space="0" w:color="BFBFBF"/>
            </w:tcBorders>
            <w:shd w:val="clear" w:color="auto" w:fill="auto"/>
            <w:vAlign w:val="center"/>
            <w:hideMark/>
          </w:tcPr>
          <w:p w14:paraId="294A37B4" w14:textId="024E1624" w:rsidR="00934C6F" w:rsidRPr="00934C6F" w:rsidRDefault="00934C6F" w:rsidP="00934C6F">
            <w:pPr>
              <w:spacing w:after="0" w:line="240" w:lineRule="auto"/>
              <w:ind w:left="0" w:right="0" w:firstLine="0"/>
              <w:jc w:val="left"/>
              <w:rPr>
                <w:rFonts w:ascii="Open Sans Light" w:eastAsia="Times New Roman" w:hAnsi="Open Sans Light" w:cs="Open Sans Light"/>
                <w:color w:val="auto"/>
                <w:sz w:val="18"/>
                <w:szCs w:val="18"/>
              </w:rPr>
            </w:pPr>
            <w:r w:rsidRPr="00934C6F">
              <w:rPr>
                <w:rFonts w:ascii="Open Sans Light" w:eastAsia="Times New Roman" w:hAnsi="Open Sans Light" w:cs="Open Sans Light"/>
                <w:color w:val="auto"/>
                <w:sz w:val="18"/>
                <w:szCs w:val="18"/>
              </w:rPr>
              <w:t>R</w:t>
            </w:r>
            <w:r w:rsidR="00C222AA">
              <w:rPr>
                <w:rFonts w:ascii="Open Sans Light" w:eastAsia="Times New Roman" w:hAnsi="Open Sans Light" w:cs="Open Sans Light"/>
                <w:color w:val="auto"/>
                <w:sz w:val="18"/>
                <w:szCs w:val="18"/>
              </w:rPr>
              <w:t>egime 2</w:t>
            </w:r>
          </w:p>
        </w:tc>
        <w:tc>
          <w:tcPr>
            <w:tcW w:w="2120" w:type="dxa"/>
            <w:tcBorders>
              <w:top w:val="nil"/>
              <w:left w:val="nil"/>
              <w:bottom w:val="single" w:sz="4" w:space="0" w:color="808080"/>
              <w:right w:val="single" w:sz="8" w:space="0" w:color="BFBFBF"/>
            </w:tcBorders>
            <w:shd w:val="clear" w:color="auto" w:fill="E7E6E6" w:themeFill="background2"/>
            <w:vAlign w:val="center"/>
            <w:hideMark/>
          </w:tcPr>
          <w:p w14:paraId="55E0E4E7" w14:textId="77777777" w:rsidR="00934C6F" w:rsidRDefault="00934C6F" w:rsidP="00934C6F">
            <w:pPr>
              <w:spacing w:after="0" w:line="240" w:lineRule="auto"/>
              <w:ind w:left="0" w:right="0" w:firstLine="0"/>
              <w:jc w:val="left"/>
              <w:rPr>
                <w:rFonts w:ascii="Open Sans Light" w:eastAsia="Times New Roman" w:hAnsi="Open Sans Light" w:cs="Open Sans Light"/>
                <w:color w:val="auto"/>
                <w:sz w:val="18"/>
                <w:szCs w:val="18"/>
              </w:rPr>
            </w:pPr>
            <w:r w:rsidRPr="00934C6F">
              <w:rPr>
                <w:rFonts w:ascii="Open Sans Light" w:eastAsia="Times New Roman" w:hAnsi="Open Sans Light" w:cs="Open Sans Light"/>
                <w:color w:val="auto"/>
                <w:sz w:val="18"/>
                <w:szCs w:val="18"/>
              </w:rPr>
              <w:t> </w:t>
            </w:r>
            <w:r w:rsidR="0053464C">
              <w:rPr>
                <w:rFonts w:ascii="Open Sans Light" w:eastAsia="Times New Roman" w:hAnsi="Open Sans Light" w:cs="Open Sans Light"/>
                <w:color w:val="auto"/>
                <w:sz w:val="18"/>
                <w:szCs w:val="18"/>
              </w:rPr>
              <w:t>Scheda 1</w:t>
            </w:r>
          </w:p>
          <w:p w14:paraId="5E0F39FD" w14:textId="77777777" w:rsidR="0053464C" w:rsidRDefault="00DF41B2" w:rsidP="00934C6F">
            <w:pPr>
              <w:spacing w:after="0" w:line="240" w:lineRule="auto"/>
              <w:ind w:left="0" w:right="0" w:firstLine="0"/>
              <w:jc w:val="left"/>
              <w:rPr>
                <w:rFonts w:ascii="Open Sans Light" w:eastAsia="Times New Roman" w:hAnsi="Open Sans Light" w:cs="Open Sans Light"/>
                <w:color w:val="auto"/>
                <w:sz w:val="18"/>
                <w:szCs w:val="18"/>
              </w:rPr>
            </w:pPr>
            <w:r>
              <w:rPr>
                <w:rFonts w:ascii="Open Sans Light" w:eastAsia="Times New Roman" w:hAnsi="Open Sans Light" w:cs="Open Sans Light"/>
                <w:color w:val="auto"/>
                <w:sz w:val="18"/>
                <w:szCs w:val="18"/>
              </w:rPr>
              <w:t xml:space="preserve"> </w:t>
            </w:r>
            <w:r w:rsidR="0053464C">
              <w:rPr>
                <w:rFonts w:ascii="Open Sans Light" w:eastAsia="Times New Roman" w:hAnsi="Open Sans Light" w:cs="Open Sans Light"/>
                <w:color w:val="auto"/>
                <w:sz w:val="18"/>
                <w:szCs w:val="18"/>
              </w:rPr>
              <w:t>Scheda 2</w:t>
            </w:r>
          </w:p>
          <w:p w14:paraId="1F47CE3B" w14:textId="7E01CBFC" w:rsidR="00DF41B2" w:rsidRPr="00934C6F" w:rsidRDefault="00DF41B2" w:rsidP="00934C6F">
            <w:pPr>
              <w:spacing w:after="0" w:line="240" w:lineRule="auto"/>
              <w:ind w:left="0" w:right="0" w:firstLine="0"/>
              <w:jc w:val="left"/>
              <w:rPr>
                <w:rFonts w:ascii="Open Sans Light" w:eastAsia="Times New Roman" w:hAnsi="Open Sans Light" w:cs="Open Sans Light"/>
                <w:color w:val="auto"/>
                <w:sz w:val="18"/>
                <w:szCs w:val="18"/>
              </w:rPr>
            </w:pPr>
            <w:r>
              <w:rPr>
                <w:rFonts w:ascii="Open Sans Light" w:eastAsia="Times New Roman" w:hAnsi="Open Sans Light" w:cs="Open Sans Light"/>
                <w:color w:val="auto"/>
                <w:sz w:val="18"/>
                <w:szCs w:val="18"/>
              </w:rPr>
              <w:t xml:space="preserve"> Scheda 12</w:t>
            </w:r>
          </w:p>
        </w:tc>
        <w:tc>
          <w:tcPr>
            <w:tcW w:w="3009" w:type="dxa"/>
            <w:tcBorders>
              <w:top w:val="nil"/>
              <w:left w:val="nil"/>
              <w:bottom w:val="single" w:sz="4" w:space="0" w:color="808080"/>
              <w:right w:val="single" w:sz="8" w:space="0" w:color="BFBFBF"/>
            </w:tcBorders>
            <w:shd w:val="clear" w:color="auto" w:fill="E7E6E6" w:themeFill="background2"/>
            <w:vAlign w:val="center"/>
            <w:hideMark/>
          </w:tcPr>
          <w:p w14:paraId="70246788" w14:textId="77777777" w:rsidR="00934C6F" w:rsidRPr="00A3265A" w:rsidRDefault="00DF41B2" w:rsidP="00934C6F">
            <w:pPr>
              <w:spacing w:after="0" w:line="240" w:lineRule="auto"/>
              <w:ind w:left="0" w:right="0" w:firstLine="0"/>
              <w:jc w:val="left"/>
              <w:rPr>
                <w:rFonts w:ascii="Open Sans Light" w:eastAsia="Times New Roman" w:hAnsi="Open Sans Light" w:cs="Open Sans Light"/>
                <w:color w:val="auto"/>
                <w:sz w:val="18"/>
                <w:szCs w:val="18"/>
                <w:lang w:val="en-GB"/>
              </w:rPr>
            </w:pPr>
            <w:r w:rsidRPr="00A3265A">
              <w:rPr>
                <w:rFonts w:ascii="Open Sans Light" w:eastAsia="Times New Roman" w:hAnsi="Open Sans Light" w:cs="Open Sans Light"/>
                <w:color w:val="auto"/>
                <w:sz w:val="18"/>
                <w:szCs w:val="18"/>
                <w:lang w:val="en-GB"/>
              </w:rPr>
              <w:t>Check List 1</w:t>
            </w:r>
          </w:p>
          <w:p w14:paraId="7093DC6A" w14:textId="77777777" w:rsidR="00DF41B2" w:rsidRPr="00A3265A" w:rsidRDefault="00DF41B2" w:rsidP="00934C6F">
            <w:pPr>
              <w:spacing w:after="0" w:line="240" w:lineRule="auto"/>
              <w:ind w:left="0" w:right="0" w:firstLine="0"/>
              <w:jc w:val="left"/>
              <w:rPr>
                <w:rFonts w:ascii="Open Sans Light" w:eastAsia="Times New Roman" w:hAnsi="Open Sans Light" w:cs="Open Sans Light"/>
                <w:color w:val="auto"/>
                <w:sz w:val="18"/>
                <w:szCs w:val="18"/>
                <w:lang w:val="en-GB"/>
              </w:rPr>
            </w:pPr>
            <w:r w:rsidRPr="00A3265A">
              <w:rPr>
                <w:rFonts w:ascii="Open Sans Light" w:eastAsia="Times New Roman" w:hAnsi="Open Sans Light" w:cs="Open Sans Light"/>
                <w:color w:val="auto"/>
                <w:sz w:val="18"/>
                <w:szCs w:val="18"/>
                <w:lang w:val="en-GB"/>
              </w:rPr>
              <w:t xml:space="preserve">Check List 2 </w:t>
            </w:r>
          </w:p>
          <w:p w14:paraId="20BF7F1C" w14:textId="2799F3AD" w:rsidR="00DF41B2" w:rsidRPr="00A3265A" w:rsidRDefault="00DF41B2" w:rsidP="00934C6F">
            <w:pPr>
              <w:spacing w:after="0" w:line="240" w:lineRule="auto"/>
              <w:ind w:left="0" w:right="0" w:firstLine="0"/>
              <w:jc w:val="left"/>
              <w:rPr>
                <w:rFonts w:ascii="Open Sans Light" w:eastAsia="Times New Roman" w:hAnsi="Open Sans Light" w:cs="Open Sans Light"/>
                <w:color w:val="auto"/>
                <w:sz w:val="18"/>
                <w:szCs w:val="18"/>
                <w:lang w:val="en-GB"/>
              </w:rPr>
            </w:pPr>
            <w:r w:rsidRPr="00A3265A">
              <w:rPr>
                <w:rFonts w:ascii="Open Sans Light" w:eastAsia="Times New Roman" w:hAnsi="Open Sans Light" w:cs="Open Sans Light"/>
                <w:color w:val="auto"/>
                <w:sz w:val="18"/>
                <w:szCs w:val="18"/>
                <w:lang w:val="en-GB"/>
              </w:rPr>
              <w:t>Check List 12</w:t>
            </w:r>
          </w:p>
        </w:tc>
      </w:tr>
    </w:tbl>
    <w:p w14:paraId="262B3FB8" w14:textId="3C74777A" w:rsidR="00410640" w:rsidRPr="00A3265A" w:rsidRDefault="00410640" w:rsidP="00934C6F">
      <w:pPr>
        <w:spacing w:after="200" w:line="360" w:lineRule="auto"/>
        <w:ind w:left="0" w:right="0" w:firstLine="0"/>
        <w:jc w:val="left"/>
        <w:rPr>
          <w:rFonts w:asciiTheme="minorHAnsi" w:hAnsiTheme="minorHAnsi" w:cstheme="minorHAnsi"/>
          <w:iCs/>
          <w:lang w:val="en-GB"/>
        </w:rPr>
      </w:pPr>
    </w:p>
    <w:p w14:paraId="34C68EFD" w14:textId="57600A94" w:rsidR="005056CD" w:rsidRPr="00256E31" w:rsidRDefault="005056CD" w:rsidP="00256E31">
      <w:pPr>
        <w:pStyle w:val="Titolo1"/>
        <w:numPr>
          <w:ilvl w:val="0"/>
          <w:numId w:val="8"/>
        </w:numPr>
        <w:rPr>
          <w:rFonts w:asciiTheme="minorHAnsi" w:hAnsiTheme="minorHAnsi" w:cstheme="minorHAnsi"/>
          <w:b/>
        </w:rPr>
      </w:pPr>
      <w:bookmarkStart w:id="5" w:name="_Toc152582340"/>
      <w:r w:rsidRPr="00256E31">
        <w:rPr>
          <w:rFonts w:asciiTheme="minorHAnsi" w:hAnsiTheme="minorHAnsi" w:cstheme="minorHAnsi"/>
          <w:b/>
          <w:u w:val="none"/>
        </w:rPr>
        <w:t>Indicazioni per una corretta applicazione del Principio DNS</w:t>
      </w:r>
      <w:r w:rsidR="000D616A">
        <w:rPr>
          <w:rFonts w:asciiTheme="minorHAnsi" w:hAnsiTheme="minorHAnsi" w:cstheme="minorHAnsi"/>
          <w:b/>
          <w:u w:val="none"/>
        </w:rPr>
        <w:t>H</w:t>
      </w:r>
      <w:bookmarkEnd w:id="5"/>
    </w:p>
    <w:p w14:paraId="037FE32D" w14:textId="2BBB067D" w:rsidR="000D616A" w:rsidRDefault="001E2BEA" w:rsidP="0050687D">
      <w:pPr>
        <w:spacing w:line="259" w:lineRule="auto"/>
        <w:ind w:left="454" w:right="454" w:firstLine="0"/>
        <w:rPr>
          <w:rFonts w:ascii="Open Sans Light" w:hAnsi="Open Sans Light" w:cs="Open Sans Light"/>
        </w:rPr>
      </w:pPr>
      <w:r w:rsidRPr="00C83D1A">
        <w:rPr>
          <w:rFonts w:ascii="Open Sans Light" w:hAnsi="Open Sans Light" w:cs="Open Sans Light"/>
        </w:rPr>
        <w:t xml:space="preserve">Il presente paragrafo </w:t>
      </w:r>
      <w:r w:rsidR="00C83D1A">
        <w:rPr>
          <w:rFonts w:ascii="Open Sans Light" w:hAnsi="Open Sans Light" w:cs="Open Sans Light"/>
        </w:rPr>
        <w:t xml:space="preserve">si pone l’obiettivo di </w:t>
      </w:r>
      <w:r w:rsidRPr="00C83D1A">
        <w:rPr>
          <w:rFonts w:ascii="Open Sans Light" w:hAnsi="Open Sans Light" w:cs="Open Sans Light"/>
        </w:rPr>
        <w:t xml:space="preserve">fornire indicazioni operative di dettaglio ai soggetti preposti all’attuazione dei singoli interventi PNRR in merito alla corretta applicazione del principio DNSH </w:t>
      </w:r>
      <w:r w:rsidR="00C83D1A">
        <w:rPr>
          <w:rFonts w:ascii="Open Sans Light" w:hAnsi="Open Sans Light" w:cs="Open Sans Light"/>
        </w:rPr>
        <w:t>per ciascuna fase</w:t>
      </w:r>
      <w:r w:rsidR="00080530">
        <w:rPr>
          <w:rFonts w:ascii="Open Sans Light" w:hAnsi="Open Sans Light" w:cs="Open Sans Light"/>
        </w:rPr>
        <w:t xml:space="preserve"> di intervento.</w:t>
      </w:r>
    </w:p>
    <w:p w14:paraId="7251C5F5" w14:textId="57CB0B9F" w:rsidR="00612E64" w:rsidRDefault="00392FE3" w:rsidP="0050687D">
      <w:pPr>
        <w:ind w:left="454" w:right="454" w:firstLine="0"/>
        <w:rPr>
          <w:rFonts w:asciiTheme="minorHAnsi" w:hAnsiTheme="minorHAnsi" w:cstheme="minorHAnsi"/>
          <w:bCs/>
          <w:sz w:val="23"/>
          <w:szCs w:val="23"/>
        </w:rPr>
      </w:pPr>
      <w:r w:rsidRPr="00C83D1A">
        <w:rPr>
          <w:rFonts w:ascii="Open Sans Light" w:hAnsi="Open Sans Light" w:cs="Open Sans Light"/>
        </w:rPr>
        <w:t xml:space="preserve">L’obiettivo deve essere quello di indirizzare gli interventi finanziati verso le ipotesi di conformità o sostenibilità ambientale previste, coerentemente con quanto riportato nelle valutazioni DNSH operate per le singole misure nel PNRR. In particolare, gli impegni presi dovranno essere tradotti con precise avvertenze e monitorati </w:t>
      </w:r>
      <w:r w:rsidRPr="00256E31">
        <w:rPr>
          <w:rFonts w:ascii="Open Sans Light" w:hAnsi="Open Sans Light" w:cs="Open Sans Light"/>
          <w:b/>
          <w:bCs/>
        </w:rPr>
        <w:t>dai primi atti di programmazione della misura al collaudo/certificato di regolare esecuzione degli interventi</w:t>
      </w:r>
      <w:r w:rsidRPr="00C83D1A">
        <w:rPr>
          <w:rFonts w:ascii="Open Sans Light" w:hAnsi="Open Sans Light" w:cs="Open Sans Light"/>
        </w:rPr>
        <w:t>.</w:t>
      </w:r>
      <w:r w:rsidRPr="002D3BA6">
        <w:rPr>
          <w:rFonts w:asciiTheme="minorHAnsi" w:hAnsiTheme="minorHAnsi" w:cstheme="minorHAnsi"/>
          <w:bCs/>
          <w:sz w:val="23"/>
          <w:szCs w:val="23"/>
        </w:rPr>
        <w:t xml:space="preserve"> </w:t>
      </w:r>
    </w:p>
    <w:p w14:paraId="775CEF61" w14:textId="18B857C7" w:rsidR="00A04502" w:rsidRPr="00D3198B" w:rsidRDefault="004638C9" w:rsidP="0050687D">
      <w:pPr>
        <w:ind w:left="454" w:right="454" w:firstLine="0"/>
        <w:rPr>
          <w:rFonts w:ascii="Open Sans Light" w:hAnsi="Open Sans Light" w:cs="Open Sans Light"/>
        </w:rPr>
      </w:pPr>
      <w:r w:rsidRPr="00BB252C">
        <w:rPr>
          <w:rFonts w:ascii="Open Sans Light" w:hAnsi="Open Sans Light" w:cs="Open Sans Light"/>
        </w:rPr>
        <w:t>Come</w:t>
      </w:r>
      <w:r w:rsidR="00E14687">
        <w:rPr>
          <w:rFonts w:ascii="Open Sans Light" w:hAnsi="Open Sans Light" w:cs="Open Sans Light"/>
        </w:rPr>
        <w:t xml:space="preserve"> </w:t>
      </w:r>
      <w:r w:rsidRPr="00BB252C">
        <w:rPr>
          <w:rFonts w:ascii="Open Sans Light" w:hAnsi="Open Sans Light" w:cs="Open Sans Light"/>
        </w:rPr>
        <w:t>previsto dalla Circolare MEF n. 30 dell'11 agosto 2022,</w:t>
      </w:r>
      <w:r w:rsidRPr="00BB252C">
        <w:rPr>
          <w:rStyle w:val="Rimandonotaapidipagina"/>
          <w:rFonts w:ascii="Open Sans Light" w:hAnsi="Open Sans Light" w:cs="Open Sans Light"/>
        </w:rPr>
        <w:footnoteReference w:id="7"/>
      </w:r>
      <w:r w:rsidRPr="00BB252C">
        <w:rPr>
          <w:rFonts w:ascii="Open Sans Light" w:hAnsi="Open Sans Light" w:cs="Open Sans Light"/>
        </w:rPr>
        <w:t xml:space="preserve"> </w:t>
      </w:r>
      <w:r w:rsidRPr="00E67498">
        <w:rPr>
          <w:rFonts w:ascii="Open Sans Light" w:hAnsi="Open Sans Light" w:cs="Open Sans Light"/>
        </w:rPr>
        <w:t xml:space="preserve">nella </w:t>
      </w:r>
      <w:r w:rsidRPr="00583E3C">
        <w:rPr>
          <w:rFonts w:ascii="Open Sans Light" w:hAnsi="Open Sans Light" w:cs="Open Sans Light"/>
        </w:rPr>
        <w:t>fase attuativa</w:t>
      </w:r>
      <w:r w:rsidRPr="00BB252C">
        <w:rPr>
          <w:rFonts w:ascii="Open Sans Light" w:hAnsi="Open Sans Light" w:cs="Open Sans Light"/>
        </w:rPr>
        <w:t xml:space="preserve"> degli interventi è necessario dimostrare che le attività di progetto sono state effettivamente realizzate senza arrecare un danno significativo a</w:t>
      </w:r>
      <w:r w:rsidR="00DE36BB" w:rsidRPr="00BB252C">
        <w:rPr>
          <w:rFonts w:ascii="Open Sans Light" w:hAnsi="Open Sans Light" w:cs="Open Sans Light"/>
        </w:rPr>
        <w:t xml:space="preserve">i singoli </w:t>
      </w:r>
      <w:r w:rsidRPr="00BB252C">
        <w:rPr>
          <w:rFonts w:ascii="Open Sans Light" w:hAnsi="Open Sans Light" w:cs="Open Sans Light"/>
        </w:rPr>
        <w:t xml:space="preserve">obiettivi ambientali. </w:t>
      </w:r>
      <w:r w:rsidR="00DE36BB" w:rsidRPr="00BB252C">
        <w:rPr>
          <w:rFonts w:ascii="Open Sans Light" w:hAnsi="Open Sans Light" w:cs="Open Sans Light"/>
        </w:rPr>
        <w:t xml:space="preserve">Nello specifico, </w:t>
      </w:r>
      <w:r w:rsidR="00A04502" w:rsidRPr="00BB252C">
        <w:rPr>
          <w:rFonts w:ascii="Open Sans Light" w:hAnsi="Open Sans Light" w:cs="Open Sans Light"/>
        </w:rPr>
        <w:t>è opportuno che le Amministrazioni titolari di misure e i soggetti attuatori:</w:t>
      </w:r>
    </w:p>
    <w:p w14:paraId="4358553F" w14:textId="2389CA20" w:rsidR="00A04502" w:rsidRPr="00D3198B" w:rsidRDefault="00A04502" w:rsidP="00E404C2">
      <w:pPr>
        <w:pStyle w:val="Paragrafoelenco"/>
        <w:numPr>
          <w:ilvl w:val="0"/>
          <w:numId w:val="32"/>
        </w:numPr>
        <w:ind w:right="454"/>
        <w:rPr>
          <w:rFonts w:ascii="Open Sans Light" w:hAnsi="Open Sans Light" w:cs="Open Sans Light"/>
        </w:rPr>
      </w:pPr>
      <w:r w:rsidRPr="00D3198B">
        <w:rPr>
          <w:rFonts w:ascii="Open Sans Light" w:hAnsi="Open Sans Light" w:cs="Open Sans Light"/>
        </w:rPr>
        <w:t>indirizzino, a monte del processo, gli interventi in maniera che essi siano conformi</w:t>
      </w:r>
      <w:r w:rsidR="00FE57B4">
        <w:rPr>
          <w:rFonts w:ascii="Open Sans Light" w:hAnsi="Open Sans Light" w:cs="Open Sans Light"/>
        </w:rPr>
        <w:t>,</w:t>
      </w:r>
      <w:r w:rsidRPr="00D3198B">
        <w:rPr>
          <w:rFonts w:ascii="Open Sans Light" w:hAnsi="Open Sans Light" w:cs="Open Sans Light"/>
        </w:rPr>
        <w:t xml:space="preserve"> inserendo gli opportuni richiami e indicazioni specifiche nell’ambito degli atti programmatici di propria competenza, tramite</w:t>
      </w:r>
      <w:r w:rsidR="00FE57B4">
        <w:rPr>
          <w:rFonts w:ascii="Open Sans Light" w:hAnsi="Open Sans Light" w:cs="Open Sans Light"/>
        </w:rPr>
        <w:t>,</w:t>
      </w:r>
      <w:r w:rsidRPr="00D3198B">
        <w:rPr>
          <w:rFonts w:ascii="Open Sans Light" w:hAnsi="Open Sans Light" w:cs="Open Sans Light"/>
        </w:rPr>
        <w:t xml:space="preserve"> per esempio</w:t>
      </w:r>
      <w:r w:rsidR="00FE57B4">
        <w:rPr>
          <w:rFonts w:ascii="Open Sans Light" w:hAnsi="Open Sans Light" w:cs="Open Sans Light"/>
        </w:rPr>
        <w:t>,</w:t>
      </w:r>
      <w:r w:rsidRPr="00D3198B">
        <w:rPr>
          <w:rFonts w:ascii="Open Sans Light" w:hAnsi="Open Sans Light" w:cs="Open Sans Light"/>
        </w:rPr>
        <w:t xml:space="preserve"> l’adozione di liste di esclusione e/o criteri di selezione utili negli avvisi per il finanziamento di progetti;</w:t>
      </w:r>
    </w:p>
    <w:p w14:paraId="2ECB3937" w14:textId="48ACD48B" w:rsidR="00A04502" w:rsidRPr="00700675" w:rsidRDefault="00A04502" w:rsidP="00700675">
      <w:pPr>
        <w:pStyle w:val="Paragrafoelenco"/>
        <w:numPr>
          <w:ilvl w:val="0"/>
          <w:numId w:val="32"/>
        </w:numPr>
        <w:ind w:right="454"/>
        <w:rPr>
          <w:rFonts w:ascii="Open Sans Light" w:hAnsi="Open Sans Light" w:cs="Open Sans Light"/>
        </w:rPr>
      </w:pPr>
      <w:r w:rsidRPr="00700675">
        <w:rPr>
          <w:rFonts w:ascii="Open Sans Light" w:hAnsi="Open Sans Light" w:cs="Open Sans Light"/>
        </w:rPr>
        <w:t>adottino criteri conformi nelle gare di appalto per assicurare una progettazione e realizzazione adeguata;</w:t>
      </w:r>
    </w:p>
    <w:p w14:paraId="455EB8F7" w14:textId="28B901CD" w:rsidR="00A04502" w:rsidRPr="00700675" w:rsidRDefault="00A04502" w:rsidP="00700675">
      <w:pPr>
        <w:pStyle w:val="Paragrafoelenco"/>
        <w:numPr>
          <w:ilvl w:val="0"/>
          <w:numId w:val="32"/>
        </w:numPr>
        <w:ind w:right="454"/>
        <w:rPr>
          <w:rFonts w:ascii="Open Sans Light" w:hAnsi="Open Sans Light" w:cs="Open Sans Light"/>
        </w:rPr>
      </w:pPr>
      <w:r w:rsidRPr="00700675">
        <w:rPr>
          <w:rFonts w:ascii="Open Sans Light" w:hAnsi="Open Sans Light" w:cs="Open Sans Light"/>
        </w:rPr>
        <w:t>raccolgano le informazioni necessarie per la rendicontazione di ogni singola milestone e target, il rispetto delle condizioni collegate al principio del DSNH e definiscano la documentazione necessaria per eventuali controlli.</w:t>
      </w:r>
    </w:p>
    <w:p w14:paraId="5DEAA83B" w14:textId="008193CE" w:rsidR="00A04502" w:rsidRDefault="00A04502" w:rsidP="0050687D">
      <w:pPr>
        <w:ind w:left="454" w:right="454" w:firstLine="0"/>
        <w:rPr>
          <w:rFonts w:ascii="Open Sans Light" w:hAnsi="Open Sans Light" w:cs="Open Sans Light"/>
        </w:rPr>
      </w:pPr>
      <w:r>
        <w:rPr>
          <w:rFonts w:ascii="Open Sans Light" w:hAnsi="Open Sans Light" w:cs="Open Sans Light"/>
        </w:rPr>
        <w:t>In particolare, n</w:t>
      </w:r>
      <w:r w:rsidRPr="00D3198B">
        <w:rPr>
          <w:rFonts w:ascii="Open Sans Light" w:hAnsi="Open Sans Light" w:cs="Open Sans Light"/>
        </w:rPr>
        <w:t xml:space="preserve">ella </w:t>
      </w:r>
      <w:r w:rsidRPr="00DE36BB">
        <w:rPr>
          <w:rFonts w:ascii="Open Sans Light" w:hAnsi="Open Sans Light" w:cs="Open Sans Light"/>
        </w:rPr>
        <w:t xml:space="preserve">fase di </w:t>
      </w:r>
      <w:r w:rsidRPr="00256E31">
        <w:rPr>
          <w:rFonts w:ascii="Open Sans Light" w:hAnsi="Open Sans Light" w:cs="Open Sans Light"/>
        </w:rPr>
        <w:t xml:space="preserve">predisposizione ed </w:t>
      </w:r>
      <w:r w:rsidRPr="00583E3C">
        <w:rPr>
          <w:rFonts w:ascii="Open Sans Light" w:hAnsi="Open Sans Light" w:cs="Open Sans Light"/>
          <w:b/>
        </w:rPr>
        <w:t>approvazione di un avviso/bando di gara</w:t>
      </w:r>
      <w:r w:rsidRPr="00256E31">
        <w:rPr>
          <w:rFonts w:ascii="Open Sans Light" w:hAnsi="Open Sans Light" w:cs="Open Sans Light"/>
        </w:rPr>
        <w:t xml:space="preserve"> per selezionare un </w:t>
      </w:r>
      <w:r w:rsidR="00F83DDB">
        <w:rPr>
          <w:rFonts w:ascii="Open Sans Light" w:hAnsi="Open Sans Light" w:cs="Open Sans Light"/>
        </w:rPr>
        <w:t>Soggetto realizzatore</w:t>
      </w:r>
      <w:r w:rsidRPr="00DE36BB">
        <w:rPr>
          <w:rFonts w:ascii="Open Sans Light" w:hAnsi="Open Sans Light" w:cs="Open Sans Light"/>
        </w:rPr>
        <w:t xml:space="preserve">, il </w:t>
      </w:r>
      <w:r w:rsidR="004120E7">
        <w:rPr>
          <w:rFonts w:ascii="Open Sans Light" w:hAnsi="Open Sans Light" w:cs="Open Sans Light"/>
          <w:b/>
          <w:bCs/>
        </w:rPr>
        <w:t>Soggetto attuatore</w:t>
      </w:r>
      <w:r w:rsidRPr="00DE36BB">
        <w:rPr>
          <w:rFonts w:ascii="Open Sans Light" w:hAnsi="Open Sans Light" w:cs="Open Sans Light"/>
        </w:rPr>
        <w:t xml:space="preserve"> deve provvedere all’inserimento di </w:t>
      </w:r>
      <w:r w:rsidRPr="00256E31">
        <w:rPr>
          <w:rFonts w:ascii="Open Sans Light" w:hAnsi="Open Sans Light" w:cs="Open Sans Light"/>
        </w:rPr>
        <w:t>specifiche prescrizioni/requisiti/condizionalità</w:t>
      </w:r>
      <w:r w:rsidRPr="00DE36BB">
        <w:rPr>
          <w:rFonts w:ascii="Open Sans Light" w:hAnsi="Open Sans Light" w:cs="Open Sans Light"/>
        </w:rPr>
        <w:t xml:space="preserve"> utili</w:t>
      </w:r>
      <w:r w:rsidRPr="00D3198B">
        <w:rPr>
          <w:rFonts w:ascii="Open Sans Light" w:hAnsi="Open Sans Light" w:cs="Open Sans Light"/>
        </w:rPr>
        <w:t xml:space="preserve"> ad orientare le soluzioni tecniche e amministrative delle attività da realizzare, al fine di garantire il rispetto dei requisiti e delle specifiche condizionalità PNRR, incluso il principio del DNSH. Al fine di assicurare il rispetto del principio DNSH, è infatti necessario che i principali atti e documenti della procedura (ad es. il bando, i documenti tecnici e amministrativi) prevedano gli elementi e le prescrizioni a carico del </w:t>
      </w:r>
      <w:r w:rsidR="00F83DDB">
        <w:rPr>
          <w:rFonts w:ascii="Open Sans Light" w:hAnsi="Open Sans Light" w:cs="Open Sans Light"/>
        </w:rPr>
        <w:t>Soggetto realizzatore</w:t>
      </w:r>
      <w:r w:rsidRPr="00D3198B">
        <w:rPr>
          <w:rFonts w:ascii="Open Sans Light" w:hAnsi="Open Sans Light" w:cs="Open Sans Light"/>
        </w:rPr>
        <w:t xml:space="preserve"> </w:t>
      </w:r>
      <w:r w:rsidRPr="00D3198B">
        <w:rPr>
          <w:rFonts w:ascii="Open Sans Light" w:hAnsi="Open Sans Light" w:cs="Open Sans Light"/>
        </w:rPr>
        <w:lastRenderedPageBreak/>
        <w:t xml:space="preserve">e gli </w:t>
      </w:r>
      <w:r w:rsidRPr="00E20C96">
        <w:rPr>
          <w:rFonts w:ascii="Open Sans Light" w:hAnsi="Open Sans Light" w:cs="Open Sans Light"/>
        </w:rPr>
        <w:t xml:space="preserve">eventuali ulteriori obblighi derivanti dalle indicazioni previste negli Atti Programmatici della Misura </w:t>
      </w:r>
      <w:r w:rsidR="00CC784F">
        <w:rPr>
          <w:rFonts w:ascii="Open Sans Light" w:hAnsi="Open Sans Light" w:cs="Open Sans Light"/>
        </w:rPr>
        <w:t>quali la</w:t>
      </w:r>
      <w:r w:rsidRPr="00E20C96">
        <w:rPr>
          <w:rFonts w:ascii="Open Sans Light" w:hAnsi="Open Sans Light" w:cs="Open Sans Light"/>
        </w:rPr>
        <w:t xml:space="preserve"> </w:t>
      </w:r>
      <w:proofErr w:type="spellStart"/>
      <w:r w:rsidR="00CC784F" w:rsidRPr="00E404C2">
        <w:rPr>
          <w:rFonts w:ascii="Open Sans Light" w:hAnsi="Open Sans Light" w:cs="Open Sans Light"/>
          <w:i/>
          <w:iCs/>
        </w:rPr>
        <w:t>Council</w:t>
      </w:r>
      <w:proofErr w:type="spellEnd"/>
      <w:r w:rsidR="00CC784F" w:rsidRPr="00E404C2">
        <w:rPr>
          <w:rFonts w:ascii="Open Sans Light" w:hAnsi="Open Sans Light" w:cs="Open Sans Light"/>
          <w:i/>
          <w:iCs/>
        </w:rPr>
        <w:t xml:space="preserve"> </w:t>
      </w:r>
      <w:proofErr w:type="spellStart"/>
      <w:r w:rsidR="00CC784F" w:rsidRPr="00E404C2">
        <w:rPr>
          <w:rFonts w:ascii="Open Sans Light" w:hAnsi="Open Sans Light" w:cs="Open Sans Light"/>
          <w:i/>
          <w:iCs/>
        </w:rPr>
        <w:t>Implementing</w:t>
      </w:r>
      <w:proofErr w:type="spellEnd"/>
      <w:r w:rsidR="00CC784F" w:rsidRPr="00E404C2">
        <w:rPr>
          <w:rFonts w:ascii="Open Sans Light" w:hAnsi="Open Sans Light" w:cs="Open Sans Light"/>
          <w:i/>
          <w:iCs/>
        </w:rPr>
        <w:t xml:space="preserve"> </w:t>
      </w:r>
      <w:proofErr w:type="spellStart"/>
      <w:r w:rsidR="00CC784F" w:rsidRPr="00E404C2">
        <w:rPr>
          <w:rFonts w:ascii="Open Sans Light" w:hAnsi="Open Sans Light" w:cs="Open Sans Light"/>
          <w:i/>
          <w:iCs/>
        </w:rPr>
        <w:t>Decision</w:t>
      </w:r>
      <w:proofErr w:type="spellEnd"/>
      <w:r w:rsidR="00CC784F" w:rsidRPr="00E20C96">
        <w:rPr>
          <w:rFonts w:ascii="Open Sans Light" w:hAnsi="Open Sans Light" w:cs="Open Sans Light"/>
        </w:rPr>
        <w:t xml:space="preserve"> </w:t>
      </w:r>
      <w:r w:rsidR="00CC784F">
        <w:rPr>
          <w:rFonts w:ascii="Open Sans Light" w:hAnsi="Open Sans Light" w:cs="Open Sans Light"/>
        </w:rPr>
        <w:t>(</w:t>
      </w:r>
      <w:r w:rsidRPr="00E20C96">
        <w:rPr>
          <w:rFonts w:ascii="Open Sans Light" w:hAnsi="Open Sans Light" w:cs="Open Sans Light"/>
        </w:rPr>
        <w:t>CID</w:t>
      </w:r>
      <w:r w:rsidR="00CC784F">
        <w:rPr>
          <w:rFonts w:ascii="Open Sans Light" w:hAnsi="Open Sans Light" w:cs="Open Sans Light"/>
        </w:rPr>
        <w:t>)</w:t>
      </w:r>
      <w:r w:rsidR="00BF42B1">
        <w:rPr>
          <w:rStyle w:val="Rimandonotaapidipagina"/>
          <w:rFonts w:ascii="Open Sans Light" w:hAnsi="Open Sans Light" w:cs="Open Sans Light"/>
        </w:rPr>
        <w:footnoteReference w:id="8"/>
      </w:r>
      <w:r w:rsidRPr="00E20C96">
        <w:rPr>
          <w:rFonts w:ascii="Open Sans Light" w:hAnsi="Open Sans Light" w:cs="Open Sans Light"/>
        </w:rPr>
        <w:t xml:space="preserve"> e </w:t>
      </w:r>
      <w:r w:rsidR="00CC784F">
        <w:rPr>
          <w:rFonts w:ascii="Open Sans Light" w:hAnsi="Open Sans Light" w:cs="Open Sans Light"/>
        </w:rPr>
        <w:t xml:space="preserve">gli </w:t>
      </w:r>
      <w:proofErr w:type="spellStart"/>
      <w:r w:rsidR="00CC784F" w:rsidRPr="00E404C2">
        <w:rPr>
          <w:rFonts w:ascii="Open Sans Light" w:hAnsi="Open Sans Light" w:cs="Open Sans Light"/>
          <w:i/>
          <w:iCs/>
        </w:rPr>
        <w:t>Operational</w:t>
      </w:r>
      <w:proofErr w:type="spellEnd"/>
      <w:r w:rsidR="00CC784F" w:rsidRPr="00E404C2">
        <w:rPr>
          <w:rFonts w:ascii="Open Sans Light" w:hAnsi="Open Sans Light" w:cs="Open Sans Light"/>
          <w:i/>
          <w:iCs/>
        </w:rPr>
        <w:t xml:space="preserve"> </w:t>
      </w:r>
      <w:proofErr w:type="spellStart"/>
      <w:r w:rsidR="00CC784F" w:rsidRPr="00E404C2">
        <w:rPr>
          <w:rFonts w:ascii="Open Sans Light" w:hAnsi="Open Sans Light" w:cs="Open Sans Light"/>
          <w:i/>
          <w:iCs/>
        </w:rPr>
        <w:t>Arrangements</w:t>
      </w:r>
      <w:proofErr w:type="spellEnd"/>
      <w:r w:rsidR="00CC784F" w:rsidRPr="00E20C96">
        <w:rPr>
          <w:rFonts w:ascii="Open Sans Light" w:hAnsi="Open Sans Light" w:cs="Open Sans Light"/>
        </w:rPr>
        <w:t xml:space="preserve"> </w:t>
      </w:r>
      <w:r w:rsidR="00CC784F">
        <w:rPr>
          <w:rFonts w:ascii="Open Sans Light" w:hAnsi="Open Sans Light" w:cs="Open Sans Light"/>
        </w:rPr>
        <w:t>(</w:t>
      </w:r>
      <w:r w:rsidR="00CC784F" w:rsidRPr="00E20C96">
        <w:rPr>
          <w:rFonts w:ascii="Open Sans Light" w:hAnsi="Open Sans Light" w:cs="Open Sans Light"/>
        </w:rPr>
        <w:t>O</w:t>
      </w:r>
      <w:r w:rsidR="00CC784F">
        <w:rPr>
          <w:rFonts w:ascii="Open Sans Light" w:hAnsi="Open Sans Light" w:cs="Open Sans Light"/>
        </w:rPr>
        <w:t>A)</w:t>
      </w:r>
      <w:r w:rsidR="00DE36BB">
        <w:rPr>
          <w:rStyle w:val="Rimandonotaapidipagina"/>
          <w:rFonts w:ascii="Open Sans Light" w:hAnsi="Open Sans Light" w:cs="Open Sans Light"/>
        </w:rPr>
        <w:footnoteReference w:id="9"/>
      </w:r>
      <w:r w:rsidR="00DE36BB">
        <w:rPr>
          <w:rFonts w:ascii="Open Sans Light" w:hAnsi="Open Sans Light" w:cs="Open Sans Light"/>
        </w:rPr>
        <w:t>.</w:t>
      </w:r>
    </w:p>
    <w:p w14:paraId="3C6D4681" w14:textId="06F5B22C" w:rsidR="00B12F58" w:rsidRDefault="00A04502" w:rsidP="0050687D">
      <w:pPr>
        <w:ind w:left="454" w:right="454" w:firstLine="0"/>
        <w:rPr>
          <w:rFonts w:ascii="Open Sans Light" w:hAnsi="Open Sans Light" w:cs="Open Sans Light"/>
        </w:rPr>
      </w:pPr>
      <w:r w:rsidRPr="00D3198B">
        <w:rPr>
          <w:rFonts w:ascii="Open Sans Light" w:hAnsi="Open Sans Light" w:cs="Open Sans Light"/>
        </w:rPr>
        <w:t>A tal fine, si suggerisce di inserire all’interno della documentazione di gara le pertinenti schede</w:t>
      </w:r>
      <w:r>
        <w:rPr>
          <w:rFonts w:ascii="Open Sans Light" w:hAnsi="Open Sans Light" w:cs="Open Sans Light"/>
        </w:rPr>
        <w:t xml:space="preserve"> tecniche</w:t>
      </w:r>
      <w:r w:rsidRPr="00D3198B">
        <w:rPr>
          <w:rFonts w:ascii="Open Sans Light" w:hAnsi="Open Sans Light" w:cs="Open Sans Light"/>
        </w:rPr>
        <w:t xml:space="preserve"> DNSH pubblicate in allegato alla Circolare MEF n.33 del 13 ottobre 2022, aspetto che verrà approfondito </w:t>
      </w:r>
      <w:r w:rsidRPr="00256E31">
        <w:rPr>
          <w:rFonts w:ascii="Open Sans Light" w:hAnsi="Open Sans Light" w:cs="Open Sans Light"/>
          <w:color w:val="000000" w:themeColor="text1"/>
        </w:rPr>
        <w:t>nel paragrafo successivo.</w:t>
      </w:r>
      <w:r w:rsidR="00B12F58" w:rsidRPr="00B12F58">
        <w:rPr>
          <w:rFonts w:ascii="Open Sans Light" w:hAnsi="Open Sans Light" w:cs="Open Sans Light"/>
        </w:rPr>
        <w:t xml:space="preserve"> </w:t>
      </w:r>
    </w:p>
    <w:p w14:paraId="7017F70C" w14:textId="77777777" w:rsidR="00700675" w:rsidRDefault="000D2831" w:rsidP="000D2831">
      <w:pPr>
        <w:ind w:left="412" w:firstLine="0"/>
        <w:rPr>
          <w:rFonts w:ascii="Open Sans Light" w:hAnsi="Open Sans Light" w:cs="Open Sans Light"/>
        </w:rPr>
      </w:pPr>
      <w:r>
        <w:rPr>
          <w:rFonts w:ascii="Open Sans Light" w:hAnsi="Open Sans Light" w:cs="Open Sans Light"/>
        </w:rPr>
        <w:t xml:space="preserve">Inoltre, con riferimento alle specifiche DNSH da inserire nella </w:t>
      </w:r>
      <w:r w:rsidRPr="0005048E">
        <w:rPr>
          <w:rFonts w:ascii="Open Sans Light" w:hAnsi="Open Sans Light" w:cs="Open Sans Light"/>
          <w:b/>
        </w:rPr>
        <w:t>documentazione di gara</w:t>
      </w:r>
      <w:r>
        <w:rPr>
          <w:rFonts w:ascii="Open Sans Light" w:hAnsi="Open Sans Light" w:cs="Open Sans Light"/>
          <w:b/>
        </w:rPr>
        <w:t xml:space="preserve"> e</w:t>
      </w:r>
      <w:r w:rsidRPr="0005048E">
        <w:rPr>
          <w:rFonts w:ascii="Open Sans Light" w:hAnsi="Open Sans Light" w:cs="Open Sans Light"/>
          <w:b/>
        </w:rPr>
        <w:t xml:space="preserve"> nelle procedure di affidamento dei servizi di progettazione e lavori</w:t>
      </w:r>
      <w:r>
        <w:rPr>
          <w:rFonts w:ascii="Open Sans Light" w:hAnsi="Open Sans Light" w:cs="Open Sans Light"/>
        </w:rPr>
        <w:t xml:space="preserve">, è utile la consultazione del Vademecum </w:t>
      </w:r>
      <w:r w:rsidRPr="00453868">
        <w:rPr>
          <w:rFonts w:ascii="Open Sans Light" w:hAnsi="Open Sans Light" w:cs="Open Sans Light"/>
        </w:rPr>
        <w:t xml:space="preserve">DNSH di Fondazione IFEL </w:t>
      </w:r>
      <w:r w:rsidRPr="007127E4">
        <w:rPr>
          <w:rFonts w:ascii="Open Sans Light" w:hAnsi="Open Sans Light" w:cs="Open Sans Light"/>
          <w:i/>
        </w:rPr>
        <w:t>- Indicazioni operative per l’applicazione del principio di non arrecare danno significativo all’ambiente nei progetti pubblici PNRR -</w:t>
      </w:r>
      <w:r w:rsidRPr="00453868">
        <w:rPr>
          <w:rFonts w:ascii="Open Sans Light" w:hAnsi="Open Sans Light" w:cs="Open Sans Light"/>
        </w:rPr>
        <w:t xml:space="preserve"> </w:t>
      </w:r>
      <w:r w:rsidRPr="0005048E">
        <w:rPr>
          <w:rFonts w:ascii="Open Sans Light" w:hAnsi="Open Sans Light" w:cs="Open Sans Light"/>
          <w:i/>
        </w:rPr>
        <w:t>Quaderno Operativo 1, ambito edilizia e cantieristica</w:t>
      </w:r>
      <w:r>
        <w:rPr>
          <w:rFonts w:ascii="Open Sans Light" w:hAnsi="Open Sans Light" w:cs="Open Sans Light"/>
        </w:rPr>
        <w:t>,</w:t>
      </w:r>
      <w:r>
        <w:rPr>
          <w:rStyle w:val="Rimandonotaapidipagina"/>
          <w:rFonts w:ascii="Open Sans Light" w:hAnsi="Open Sans Light" w:cs="Open Sans Light"/>
        </w:rPr>
        <w:footnoteReference w:id="10"/>
      </w:r>
      <w:r>
        <w:rPr>
          <w:rFonts w:ascii="Open Sans Light" w:hAnsi="Open Sans Light" w:cs="Open Sans Light"/>
        </w:rPr>
        <w:t xml:space="preserve"> che fornisce</w:t>
      </w:r>
      <w:r w:rsidRPr="006C26C3">
        <w:rPr>
          <w:rFonts w:ascii="Open Sans Light" w:hAnsi="Open Sans Light" w:cs="Open Sans Light"/>
        </w:rPr>
        <w:t xml:space="preserve"> suggerimenti, riferimenti bibliografici, link a Linee Guida tecniche, illustrazione di metodologie, procedure e proposte tecniche su come integrare</w:t>
      </w:r>
      <w:r>
        <w:rPr>
          <w:rFonts w:ascii="Open Sans Light" w:hAnsi="Open Sans Light" w:cs="Open Sans Light"/>
        </w:rPr>
        <w:t xml:space="preserve"> </w:t>
      </w:r>
      <w:r w:rsidRPr="006C26C3">
        <w:rPr>
          <w:rFonts w:ascii="Open Sans Light" w:hAnsi="Open Sans Light" w:cs="Open Sans Light"/>
        </w:rPr>
        <w:t>e rendere conformi i progetti ai vincoli DNSH e ai CAM.</w:t>
      </w:r>
      <w:r>
        <w:rPr>
          <w:rFonts w:ascii="Open Sans Light" w:hAnsi="Open Sans Light" w:cs="Open Sans Light"/>
        </w:rPr>
        <w:t xml:space="preserve"> </w:t>
      </w:r>
    </w:p>
    <w:p w14:paraId="3A15A79A" w14:textId="495229BC" w:rsidR="000D2831" w:rsidRDefault="000D2831" w:rsidP="000D2831">
      <w:pPr>
        <w:ind w:left="412" w:firstLine="0"/>
        <w:rPr>
          <w:rFonts w:ascii="Open Sans Light" w:hAnsi="Open Sans Light" w:cs="Open Sans Light"/>
        </w:rPr>
      </w:pPr>
      <w:r>
        <w:rPr>
          <w:rFonts w:ascii="Open Sans Light" w:hAnsi="Open Sans Light" w:cs="Open Sans Light"/>
        </w:rPr>
        <w:t>Segue</w:t>
      </w:r>
      <w:r w:rsidR="00700675">
        <w:rPr>
          <w:rFonts w:ascii="Open Sans Light" w:hAnsi="Open Sans Light" w:cs="Open Sans Light"/>
        </w:rPr>
        <w:t>,</w:t>
      </w:r>
      <w:r>
        <w:rPr>
          <w:rFonts w:ascii="Open Sans Light" w:hAnsi="Open Sans Light" w:cs="Open Sans Light"/>
        </w:rPr>
        <w:t xml:space="preserve"> al riguardo</w:t>
      </w:r>
      <w:r w:rsidR="00700675">
        <w:rPr>
          <w:rFonts w:ascii="Open Sans Light" w:hAnsi="Open Sans Light" w:cs="Open Sans Light"/>
        </w:rPr>
        <w:t>,</w:t>
      </w:r>
      <w:r>
        <w:rPr>
          <w:rFonts w:ascii="Open Sans Light" w:hAnsi="Open Sans Light" w:cs="Open Sans Light"/>
        </w:rPr>
        <w:t xml:space="preserve"> un utile estratto dal citato Vademecum.</w:t>
      </w:r>
    </w:p>
    <w:p w14:paraId="12E89E98" w14:textId="77777777" w:rsidR="00700675" w:rsidRDefault="00700675" w:rsidP="000D2831">
      <w:pPr>
        <w:ind w:left="412" w:firstLine="0"/>
        <w:rPr>
          <w:rFonts w:ascii="Open Sans Light" w:hAnsi="Open Sans Light" w:cs="Open Sans Light"/>
          <w:i/>
          <w:u w:val="single"/>
        </w:rPr>
      </w:pPr>
    </w:p>
    <w:p w14:paraId="6BCB8454" w14:textId="63C836BB" w:rsidR="000D2831" w:rsidRPr="00B81F56" w:rsidRDefault="000D2831" w:rsidP="000D2831">
      <w:pPr>
        <w:ind w:left="412" w:firstLine="0"/>
        <w:rPr>
          <w:rFonts w:ascii="Open Sans Light" w:hAnsi="Open Sans Light" w:cs="Open Sans Light"/>
          <w:i/>
          <w:u w:val="single"/>
        </w:rPr>
      </w:pPr>
      <w:r>
        <w:rPr>
          <w:rFonts w:ascii="Open Sans Light" w:hAnsi="Open Sans Light" w:cs="Open Sans Light"/>
          <w:i/>
          <w:u w:val="single"/>
        </w:rPr>
        <w:t xml:space="preserve">Focus </w:t>
      </w:r>
      <w:r w:rsidRPr="00B81F56">
        <w:rPr>
          <w:rFonts w:ascii="Open Sans Light" w:hAnsi="Open Sans Light" w:cs="Open Sans Light"/>
          <w:i/>
          <w:u w:val="single"/>
        </w:rPr>
        <w:t>Vademecum DNSH di Fondazione IFEL</w:t>
      </w:r>
    </w:p>
    <w:p w14:paraId="5A3E2F15" w14:textId="77777777" w:rsidR="003D08A4" w:rsidRPr="00E404C2" w:rsidRDefault="003D08A4" w:rsidP="00063549">
      <w:pPr>
        <w:pBdr>
          <w:top w:val="single" w:sz="4" w:space="1" w:color="auto"/>
          <w:left w:val="single" w:sz="4" w:space="4" w:color="auto"/>
          <w:bottom w:val="single" w:sz="4" w:space="1" w:color="auto"/>
          <w:right w:val="single" w:sz="4" w:space="4" w:color="auto"/>
        </w:pBdr>
        <w:shd w:val="clear" w:color="auto" w:fill="D9E2F3" w:themeFill="accent1" w:themeFillTint="33"/>
        <w:ind w:left="412" w:firstLine="0"/>
        <w:jc w:val="center"/>
        <w:rPr>
          <w:rFonts w:ascii="Open Sans Light" w:hAnsi="Open Sans Light" w:cs="Open Sans Light"/>
          <w:b/>
        </w:rPr>
      </w:pPr>
      <w:r w:rsidRPr="00E404C2">
        <w:rPr>
          <w:rFonts w:ascii="Open Sans Light" w:hAnsi="Open Sans Light" w:cs="Open Sans Light"/>
          <w:b/>
        </w:rPr>
        <w:t>Cosa inserire nei documenti di gara</w:t>
      </w:r>
    </w:p>
    <w:p w14:paraId="1EA11F0F" w14:textId="77777777" w:rsidR="003D08A4" w:rsidRPr="00BD4316" w:rsidRDefault="003D08A4" w:rsidP="00063549">
      <w:pPr>
        <w:pBdr>
          <w:top w:val="single" w:sz="4" w:space="1" w:color="auto"/>
          <w:left w:val="single" w:sz="4" w:space="4" w:color="auto"/>
          <w:bottom w:val="single" w:sz="4" w:space="1" w:color="auto"/>
          <w:right w:val="single" w:sz="4" w:space="4" w:color="auto"/>
        </w:pBdr>
        <w:shd w:val="clear" w:color="auto" w:fill="D9E2F3" w:themeFill="accent1" w:themeFillTint="33"/>
        <w:ind w:left="412" w:firstLine="0"/>
        <w:rPr>
          <w:rFonts w:ascii="Open Sans Light" w:hAnsi="Open Sans Light" w:cs="Open Sans Light"/>
        </w:rPr>
      </w:pPr>
      <w:r w:rsidRPr="00BD4316">
        <w:rPr>
          <w:rFonts w:ascii="Open Sans Light" w:hAnsi="Open Sans Light" w:cs="Open Sans Light"/>
        </w:rPr>
        <w:t>Come definito nel Vademecum DNSH di IFEL (Fondazione ANCI) – in costante</w:t>
      </w:r>
      <w:r>
        <w:rPr>
          <w:rFonts w:ascii="Open Sans Light" w:hAnsi="Open Sans Light" w:cs="Open Sans Light"/>
        </w:rPr>
        <w:t xml:space="preserve"> </w:t>
      </w:r>
      <w:r w:rsidRPr="00BD4316">
        <w:rPr>
          <w:rFonts w:ascii="Open Sans Light" w:hAnsi="Open Sans Light" w:cs="Open Sans Light"/>
        </w:rPr>
        <w:t xml:space="preserve">aggiornamento - cui si rimanda per </w:t>
      </w:r>
      <w:r>
        <w:rPr>
          <w:rFonts w:ascii="Open Sans Light" w:hAnsi="Open Sans Light" w:cs="Open Sans Light"/>
        </w:rPr>
        <w:t>i suggerimenti</w:t>
      </w:r>
      <w:r w:rsidRPr="00BD4316">
        <w:rPr>
          <w:rFonts w:ascii="Open Sans Light" w:hAnsi="Open Sans Light" w:cs="Open Sans Light"/>
        </w:rPr>
        <w:t xml:space="preserve"> tecnic</w:t>
      </w:r>
      <w:r>
        <w:rPr>
          <w:rFonts w:ascii="Open Sans Light" w:hAnsi="Open Sans Light" w:cs="Open Sans Light"/>
        </w:rPr>
        <w:t>i</w:t>
      </w:r>
      <w:r w:rsidRPr="00BD4316">
        <w:rPr>
          <w:rFonts w:ascii="Open Sans Light" w:hAnsi="Open Sans Light" w:cs="Open Sans Light"/>
        </w:rPr>
        <w:t xml:space="preserve"> ai RUP e ai Progettisti, i</w:t>
      </w:r>
      <w:r>
        <w:rPr>
          <w:rFonts w:ascii="Open Sans Light" w:hAnsi="Open Sans Light" w:cs="Open Sans Light"/>
        </w:rPr>
        <w:t xml:space="preserve"> </w:t>
      </w:r>
      <w:r w:rsidRPr="00BD4316">
        <w:rPr>
          <w:rFonts w:ascii="Open Sans Light" w:hAnsi="Open Sans Light" w:cs="Open Sans Light"/>
        </w:rPr>
        <w:t>documenti di gara dovranno tenere conto:</w:t>
      </w:r>
    </w:p>
    <w:p w14:paraId="2631418A" w14:textId="77777777" w:rsidR="003D08A4" w:rsidRPr="00BD4316" w:rsidRDefault="003D08A4" w:rsidP="00063549">
      <w:pPr>
        <w:pBdr>
          <w:top w:val="single" w:sz="4" w:space="1" w:color="auto"/>
          <w:left w:val="single" w:sz="4" w:space="4" w:color="auto"/>
          <w:bottom w:val="single" w:sz="4" w:space="1" w:color="auto"/>
          <w:right w:val="single" w:sz="4" w:space="4" w:color="auto"/>
        </w:pBdr>
        <w:shd w:val="clear" w:color="auto" w:fill="D9E2F3" w:themeFill="accent1" w:themeFillTint="33"/>
        <w:ind w:left="412" w:firstLine="0"/>
        <w:rPr>
          <w:rFonts w:ascii="Open Sans Light" w:hAnsi="Open Sans Light" w:cs="Open Sans Light"/>
        </w:rPr>
      </w:pPr>
      <w:r w:rsidRPr="00BD4316">
        <w:rPr>
          <w:rFonts w:ascii="Open Sans Light" w:hAnsi="Open Sans Light" w:cs="Open Sans Light"/>
        </w:rPr>
        <w:t>- di quanto previsto dalla “Guida operativa per il rispetto del principio DNSH” del MEF</w:t>
      </w:r>
      <w:r>
        <w:rPr>
          <w:rFonts w:ascii="Open Sans Light" w:hAnsi="Open Sans Light" w:cs="Open Sans Light"/>
        </w:rPr>
        <w:t xml:space="preserve"> </w:t>
      </w:r>
      <w:r w:rsidRPr="00BD4316">
        <w:rPr>
          <w:rFonts w:ascii="Open Sans Light" w:hAnsi="Open Sans Light" w:cs="Open Sans Light"/>
        </w:rPr>
        <w:t>approvata con Circolare n. 32/2021 e aggiornata con la n.33/2022;</w:t>
      </w:r>
    </w:p>
    <w:p w14:paraId="4AAC22B9" w14:textId="77777777" w:rsidR="003D08A4" w:rsidRPr="00BD4316" w:rsidRDefault="003D08A4" w:rsidP="00063549">
      <w:pPr>
        <w:pBdr>
          <w:top w:val="single" w:sz="4" w:space="1" w:color="auto"/>
          <w:left w:val="single" w:sz="4" w:space="4" w:color="auto"/>
          <w:bottom w:val="single" w:sz="4" w:space="1" w:color="auto"/>
          <w:right w:val="single" w:sz="4" w:space="4" w:color="auto"/>
        </w:pBdr>
        <w:shd w:val="clear" w:color="auto" w:fill="D9E2F3" w:themeFill="accent1" w:themeFillTint="33"/>
        <w:ind w:left="412" w:firstLine="0"/>
        <w:rPr>
          <w:rFonts w:ascii="Open Sans Light" w:hAnsi="Open Sans Light" w:cs="Open Sans Light"/>
        </w:rPr>
      </w:pPr>
      <w:r w:rsidRPr="00BD4316">
        <w:rPr>
          <w:rFonts w:ascii="Open Sans Light" w:hAnsi="Open Sans Light" w:cs="Open Sans Light"/>
        </w:rPr>
        <w:t>- di quanto previsto dalle “Linee Guida del MIMS per la redazione del progetto di</w:t>
      </w:r>
      <w:r>
        <w:rPr>
          <w:rFonts w:ascii="Open Sans Light" w:hAnsi="Open Sans Light" w:cs="Open Sans Light"/>
        </w:rPr>
        <w:t xml:space="preserve"> </w:t>
      </w:r>
      <w:r w:rsidRPr="00BD4316">
        <w:rPr>
          <w:rFonts w:ascii="Open Sans Light" w:hAnsi="Open Sans Light" w:cs="Open Sans Light"/>
        </w:rPr>
        <w:t>fattibilità tecnica ed economica da porre a base dell’affidamento di contratti</w:t>
      </w:r>
      <w:r>
        <w:rPr>
          <w:rFonts w:ascii="Open Sans Light" w:hAnsi="Open Sans Light" w:cs="Open Sans Light"/>
        </w:rPr>
        <w:t xml:space="preserve"> </w:t>
      </w:r>
      <w:r w:rsidRPr="00BD4316">
        <w:rPr>
          <w:rFonts w:ascii="Open Sans Light" w:hAnsi="Open Sans Light" w:cs="Open Sans Light"/>
        </w:rPr>
        <w:t>pubblici di lavori del PNRR e del PNC”;</w:t>
      </w:r>
    </w:p>
    <w:p w14:paraId="48BCFA02" w14:textId="77777777" w:rsidR="003D08A4" w:rsidRPr="00BD4316" w:rsidRDefault="003D08A4" w:rsidP="00063549">
      <w:pPr>
        <w:pBdr>
          <w:top w:val="single" w:sz="4" w:space="1" w:color="auto"/>
          <w:left w:val="single" w:sz="4" w:space="4" w:color="auto"/>
          <w:bottom w:val="single" w:sz="4" w:space="1" w:color="auto"/>
          <w:right w:val="single" w:sz="4" w:space="4" w:color="auto"/>
        </w:pBdr>
        <w:shd w:val="clear" w:color="auto" w:fill="D9E2F3" w:themeFill="accent1" w:themeFillTint="33"/>
        <w:ind w:left="412" w:firstLine="0"/>
        <w:rPr>
          <w:rFonts w:ascii="Open Sans Light" w:hAnsi="Open Sans Light" w:cs="Open Sans Light"/>
        </w:rPr>
      </w:pPr>
      <w:r w:rsidRPr="00BD4316">
        <w:rPr>
          <w:rFonts w:ascii="Open Sans Light" w:hAnsi="Open Sans Light" w:cs="Open Sans Light"/>
        </w:rPr>
        <w:t>- dei Criteri Ambientali Minimi (CAM);</w:t>
      </w:r>
    </w:p>
    <w:p w14:paraId="14D000A9" w14:textId="6AE2746F" w:rsidR="003D08A4" w:rsidRDefault="003D08A4" w:rsidP="00063549">
      <w:pPr>
        <w:pBdr>
          <w:top w:val="single" w:sz="4" w:space="1" w:color="auto"/>
          <w:left w:val="single" w:sz="4" w:space="4" w:color="auto"/>
          <w:bottom w:val="single" w:sz="4" w:space="1" w:color="auto"/>
          <w:right w:val="single" w:sz="4" w:space="4" w:color="auto"/>
        </w:pBdr>
        <w:shd w:val="clear" w:color="auto" w:fill="D9E2F3" w:themeFill="accent1" w:themeFillTint="33"/>
        <w:ind w:left="412" w:firstLine="0"/>
        <w:rPr>
          <w:rFonts w:ascii="Open Sans Light" w:hAnsi="Open Sans Light" w:cs="Open Sans Light"/>
        </w:rPr>
      </w:pPr>
      <w:r w:rsidRPr="00BD4316">
        <w:rPr>
          <w:rFonts w:ascii="Open Sans Light" w:hAnsi="Open Sans Light" w:cs="Open Sans Light"/>
        </w:rPr>
        <w:t>- delle specifiche tecniche obbligatorie e delle condizioni di esecuzione del contratto.</w:t>
      </w:r>
    </w:p>
    <w:p w14:paraId="2882A297" w14:textId="77777777" w:rsidR="003D08A4" w:rsidRPr="00063549" w:rsidRDefault="003D08A4" w:rsidP="00063549">
      <w:pPr>
        <w:pBdr>
          <w:top w:val="single" w:sz="4" w:space="1" w:color="auto"/>
          <w:left w:val="single" w:sz="4" w:space="4" w:color="auto"/>
          <w:bottom w:val="single" w:sz="4" w:space="1" w:color="auto"/>
          <w:right w:val="single" w:sz="4" w:space="4" w:color="auto"/>
        </w:pBdr>
        <w:shd w:val="clear" w:color="auto" w:fill="D9E2F3" w:themeFill="accent1" w:themeFillTint="33"/>
        <w:ind w:left="412" w:firstLine="0"/>
        <w:jc w:val="center"/>
        <w:rPr>
          <w:rFonts w:ascii="Open Sans Light" w:hAnsi="Open Sans Light" w:cs="Open Sans Light"/>
          <w:b/>
          <w:bCs/>
        </w:rPr>
      </w:pPr>
      <w:r w:rsidRPr="00063549">
        <w:rPr>
          <w:rFonts w:ascii="Open Sans Light" w:hAnsi="Open Sans Light" w:cs="Open Sans Light"/>
          <w:b/>
          <w:bCs/>
        </w:rPr>
        <w:t>Affidamento dei servizi di progettazione</w:t>
      </w:r>
    </w:p>
    <w:p w14:paraId="36A435FA" w14:textId="1853E1D6" w:rsidR="003D08A4" w:rsidRDefault="003D08A4" w:rsidP="00063549">
      <w:pPr>
        <w:pBdr>
          <w:top w:val="single" w:sz="4" w:space="1" w:color="auto"/>
          <w:left w:val="single" w:sz="4" w:space="4" w:color="auto"/>
          <w:bottom w:val="single" w:sz="4" w:space="1" w:color="auto"/>
          <w:right w:val="single" w:sz="4" w:space="4" w:color="auto"/>
        </w:pBdr>
        <w:shd w:val="clear" w:color="auto" w:fill="D9E2F3" w:themeFill="accent1" w:themeFillTint="33"/>
        <w:ind w:left="412" w:firstLine="0"/>
        <w:rPr>
          <w:rFonts w:ascii="Open Sans Light" w:hAnsi="Open Sans Light" w:cs="Open Sans Light"/>
        </w:rPr>
      </w:pPr>
      <w:r w:rsidRPr="00BD4316">
        <w:rPr>
          <w:rFonts w:ascii="Open Sans Light" w:hAnsi="Open Sans Light" w:cs="Open Sans Light"/>
        </w:rPr>
        <w:t>Nel caso di affidamento dei servizi di progettazione è necessario che il disciplinare di gara</w:t>
      </w:r>
      <w:r>
        <w:rPr>
          <w:rFonts w:ascii="Open Sans Light" w:hAnsi="Open Sans Light" w:cs="Open Sans Light"/>
        </w:rPr>
        <w:t xml:space="preserve"> </w:t>
      </w:r>
      <w:r w:rsidRPr="00BD4316">
        <w:rPr>
          <w:rFonts w:ascii="Open Sans Light" w:hAnsi="Open Sans Light" w:cs="Open Sans Light"/>
        </w:rPr>
        <w:t>includa criteri di selezione di progettisti e consulenti che siano in grado di redigere</w:t>
      </w:r>
      <w:r>
        <w:rPr>
          <w:rFonts w:ascii="Open Sans Light" w:hAnsi="Open Sans Light" w:cs="Open Sans Light"/>
        </w:rPr>
        <w:t xml:space="preserve"> </w:t>
      </w:r>
      <w:r w:rsidRPr="00BD4316">
        <w:rPr>
          <w:rFonts w:ascii="Open Sans Light" w:hAnsi="Open Sans Light" w:cs="Open Sans Light"/>
        </w:rPr>
        <w:t xml:space="preserve">progetti conformi ai </w:t>
      </w:r>
      <w:r w:rsidRPr="00BD4316">
        <w:rPr>
          <w:rFonts w:ascii="Open Sans Light" w:hAnsi="Open Sans Light" w:cs="Open Sans Light"/>
        </w:rPr>
        <w:lastRenderedPageBreak/>
        <w:t>vincoli DNSH della Guida operativa del MEF, alle indicazioni delle</w:t>
      </w:r>
      <w:r>
        <w:rPr>
          <w:rFonts w:ascii="Open Sans Light" w:hAnsi="Open Sans Light" w:cs="Open Sans Light"/>
        </w:rPr>
        <w:t xml:space="preserve"> </w:t>
      </w:r>
      <w:r w:rsidRPr="00BD4316">
        <w:rPr>
          <w:rFonts w:ascii="Open Sans Light" w:hAnsi="Open Sans Light" w:cs="Open Sans Light"/>
        </w:rPr>
        <w:t>Linee guida del MIMS e ai CAM.</w:t>
      </w:r>
      <w:r>
        <w:rPr>
          <w:rFonts w:ascii="Open Sans Light" w:hAnsi="Open Sans Light" w:cs="Open Sans Light"/>
        </w:rPr>
        <w:t xml:space="preserve"> </w:t>
      </w:r>
      <w:r w:rsidRPr="00BD4316">
        <w:rPr>
          <w:rFonts w:ascii="Open Sans Light" w:hAnsi="Open Sans Light" w:cs="Open Sans Light"/>
        </w:rPr>
        <w:t>Queste indicazioni, infatti, richiedono prestazioni tecniche specialistiche aggiuntive</w:t>
      </w:r>
      <w:r>
        <w:rPr>
          <w:rFonts w:ascii="Open Sans Light" w:hAnsi="Open Sans Light" w:cs="Open Sans Light"/>
        </w:rPr>
        <w:t xml:space="preserve"> </w:t>
      </w:r>
      <w:r w:rsidRPr="00BD4316">
        <w:rPr>
          <w:rFonts w:ascii="Open Sans Light" w:hAnsi="Open Sans Light" w:cs="Open Sans Light"/>
        </w:rPr>
        <w:t>rispetto a quelle previste dal Codice dei contratti pubblici e pertanto è indispensabile</w:t>
      </w:r>
      <w:r>
        <w:rPr>
          <w:rFonts w:ascii="Open Sans Light" w:hAnsi="Open Sans Light" w:cs="Open Sans Light"/>
        </w:rPr>
        <w:t xml:space="preserve"> </w:t>
      </w:r>
      <w:r w:rsidRPr="00BD4316">
        <w:rPr>
          <w:rFonts w:ascii="Open Sans Light" w:hAnsi="Open Sans Light" w:cs="Open Sans Light"/>
        </w:rPr>
        <w:t>prevedere nel bando di gara tutte le figure professionali necessarie.</w:t>
      </w:r>
    </w:p>
    <w:p w14:paraId="54B7775C" w14:textId="77777777" w:rsidR="003D08A4" w:rsidRPr="00063549" w:rsidRDefault="003D08A4" w:rsidP="00063549">
      <w:pPr>
        <w:pBdr>
          <w:top w:val="single" w:sz="4" w:space="1" w:color="auto"/>
          <w:left w:val="single" w:sz="4" w:space="4" w:color="auto"/>
          <w:bottom w:val="single" w:sz="4" w:space="1" w:color="auto"/>
          <w:right w:val="single" w:sz="4" w:space="4" w:color="auto"/>
        </w:pBdr>
        <w:shd w:val="clear" w:color="auto" w:fill="D9E2F3" w:themeFill="accent1" w:themeFillTint="33"/>
        <w:ind w:left="412" w:firstLine="0"/>
        <w:jc w:val="center"/>
        <w:rPr>
          <w:rFonts w:ascii="Open Sans Light" w:hAnsi="Open Sans Light" w:cs="Open Sans Light"/>
          <w:b/>
          <w:bCs/>
        </w:rPr>
      </w:pPr>
      <w:r w:rsidRPr="00063549">
        <w:rPr>
          <w:rFonts w:ascii="Open Sans Light" w:hAnsi="Open Sans Light" w:cs="Open Sans Light"/>
          <w:b/>
          <w:bCs/>
        </w:rPr>
        <w:t>Affidamento dei lavori</w:t>
      </w:r>
    </w:p>
    <w:p w14:paraId="1D6ADF76" w14:textId="177FAB37" w:rsidR="003D08A4" w:rsidRDefault="003D08A4" w:rsidP="00063549">
      <w:pPr>
        <w:pBdr>
          <w:top w:val="single" w:sz="4" w:space="1" w:color="auto"/>
          <w:left w:val="single" w:sz="4" w:space="4" w:color="auto"/>
          <w:bottom w:val="single" w:sz="4" w:space="1" w:color="auto"/>
          <w:right w:val="single" w:sz="4" w:space="4" w:color="auto"/>
        </w:pBdr>
        <w:shd w:val="clear" w:color="auto" w:fill="D9E2F3" w:themeFill="accent1" w:themeFillTint="33"/>
        <w:ind w:left="412" w:firstLine="0"/>
        <w:rPr>
          <w:rFonts w:ascii="Open Sans Light" w:hAnsi="Open Sans Light" w:cs="Open Sans Light"/>
        </w:rPr>
      </w:pPr>
      <w:r w:rsidRPr="00BD4316">
        <w:rPr>
          <w:rFonts w:ascii="Open Sans Light" w:hAnsi="Open Sans Light" w:cs="Open Sans Light"/>
        </w:rPr>
        <w:t>Nel caso di affidamento dei lavori è necessario che il Bando di gara/Capitolato speciale</w:t>
      </w:r>
      <w:r>
        <w:rPr>
          <w:rFonts w:ascii="Open Sans Light" w:hAnsi="Open Sans Light" w:cs="Open Sans Light"/>
        </w:rPr>
        <w:t xml:space="preserve"> </w:t>
      </w:r>
      <w:r w:rsidRPr="00BD4316">
        <w:rPr>
          <w:rFonts w:ascii="Open Sans Light" w:hAnsi="Open Sans Light" w:cs="Open Sans Light"/>
        </w:rPr>
        <w:t>d’appalto includa tutte le condizioni di esecuzione dell’appalto pubblico (ad esempio</w:t>
      </w:r>
      <w:r>
        <w:rPr>
          <w:rFonts w:ascii="Open Sans Light" w:hAnsi="Open Sans Light" w:cs="Open Sans Light"/>
        </w:rPr>
        <w:t xml:space="preserve"> </w:t>
      </w:r>
      <w:r w:rsidRPr="00BD4316">
        <w:rPr>
          <w:rFonts w:ascii="Open Sans Light" w:hAnsi="Open Sans Light" w:cs="Open Sans Light"/>
        </w:rPr>
        <w:t>obbligo da parte del Soggetto realizzatore (Appaltatore) di fornire tutti i mezzi di prova e</w:t>
      </w:r>
      <w:r>
        <w:rPr>
          <w:rFonts w:ascii="Open Sans Light" w:hAnsi="Open Sans Light" w:cs="Open Sans Light"/>
        </w:rPr>
        <w:t xml:space="preserve"> </w:t>
      </w:r>
      <w:r w:rsidRPr="00BD4316">
        <w:rPr>
          <w:rFonts w:ascii="Open Sans Light" w:hAnsi="Open Sans Light" w:cs="Open Sans Light"/>
        </w:rPr>
        <w:t>le certificazioni di prodotto richieste dal progetto, verifiche prestazionali da eseguire in</w:t>
      </w:r>
      <w:r>
        <w:rPr>
          <w:rFonts w:ascii="Open Sans Light" w:hAnsi="Open Sans Light" w:cs="Open Sans Light"/>
        </w:rPr>
        <w:t xml:space="preserve"> </w:t>
      </w:r>
      <w:r w:rsidRPr="00BD4316">
        <w:rPr>
          <w:rFonts w:ascii="Open Sans Light" w:hAnsi="Open Sans Light" w:cs="Open Sans Light"/>
        </w:rPr>
        <w:t>corso d’opera, ecc.), necessarie alla verifica del rispetto dei vincoli DNSH della Guida</w:t>
      </w:r>
      <w:r>
        <w:rPr>
          <w:rFonts w:ascii="Open Sans Light" w:hAnsi="Open Sans Light" w:cs="Open Sans Light"/>
        </w:rPr>
        <w:t xml:space="preserve"> </w:t>
      </w:r>
      <w:r w:rsidRPr="00BD4316">
        <w:rPr>
          <w:rFonts w:ascii="Open Sans Light" w:hAnsi="Open Sans Light" w:cs="Open Sans Light"/>
        </w:rPr>
        <w:t>operativa del MEF, nonché di quelle necessarie alla verifica dei CAM.</w:t>
      </w:r>
      <w:r>
        <w:rPr>
          <w:rFonts w:ascii="Open Sans Light" w:hAnsi="Open Sans Light" w:cs="Open Sans Light"/>
        </w:rPr>
        <w:t xml:space="preserve"> </w:t>
      </w:r>
      <w:r w:rsidRPr="00BD4316">
        <w:rPr>
          <w:rFonts w:ascii="Open Sans Light" w:hAnsi="Open Sans Light" w:cs="Open Sans Light"/>
        </w:rPr>
        <w:t>In particolare, è necessario specificare nel Bando di gara che si tratta di un progetto</w:t>
      </w:r>
      <w:r>
        <w:rPr>
          <w:rFonts w:ascii="Open Sans Light" w:hAnsi="Open Sans Light" w:cs="Open Sans Light"/>
        </w:rPr>
        <w:t xml:space="preserve"> </w:t>
      </w:r>
      <w:r w:rsidRPr="00BD4316">
        <w:rPr>
          <w:rFonts w:ascii="Open Sans Light" w:hAnsi="Open Sans Light" w:cs="Open Sans Light"/>
        </w:rPr>
        <w:t>finanziato dal PNRR, indicando anche il regime di riferimento (</w:t>
      </w:r>
      <w:r w:rsidR="009B49DB">
        <w:rPr>
          <w:rFonts w:ascii="Open Sans Light" w:hAnsi="Open Sans Light" w:cs="Open Sans Light"/>
        </w:rPr>
        <w:t xml:space="preserve">Si precisa che tutti gli investimenti afferenti </w:t>
      </w:r>
      <w:proofErr w:type="gramStart"/>
      <w:r w:rsidR="009B49DB">
        <w:rPr>
          <w:rFonts w:ascii="Open Sans Light" w:hAnsi="Open Sans Light" w:cs="Open Sans Light"/>
        </w:rPr>
        <w:t>la</w:t>
      </w:r>
      <w:proofErr w:type="gramEnd"/>
      <w:r w:rsidR="009B49DB">
        <w:rPr>
          <w:rFonts w:ascii="Open Sans Light" w:hAnsi="Open Sans Light" w:cs="Open Sans Light"/>
        </w:rPr>
        <w:t xml:space="preserve"> M2C3 I1.2 del Ministero della Giustizia sono in </w:t>
      </w:r>
      <w:r w:rsidR="009B49DB" w:rsidRPr="00E404C2">
        <w:rPr>
          <w:rFonts w:ascii="Open Sans Light" w:hAnsi="Open Sans Light" w:cs="Open Sans Light"/>
          <w:b/>
          <w:bCs/>
        </w:rPr>
        <w:t>Regime 2</w:t>
      </w:r>
      <w:r w:rsidR="00B23075">
        <w:rPr>
          <w:rFonts w:ascii="Open Sans Light" w:hAnsi="Open Sans Light" w:cs="Open Sans Light"/>
          <w:b/>
          <w:bCs/>
        </w:rPr>
        <w:t>)</w:t>
      </w:r>
      <w:r w:rsidR="009B49DB">
        <w:rPr>
          <w:rFonts w:ascii="Open Sans Light" w:hAnsi="Open Sans Light" w:cs="Open Sans Light"/>
        </w:rPr>
        <w:t>.</w:t>
      </w:r>
      <w:r>
        <w:rPr>
          <w:rFonts w:ascii="Open Sans Light" w:hAnsi="Open Sans Light" w:cs="Open Sans Light"/>
        </w:rPr>
        <w:t xml:space="preserve"> </w:t>
      </w:r>
      <w:r w:rsidRPr="00BD4316">
        <w:rPr>
          <w:rFonts w:ascii="Open Sans Light" w:hAnsi="Open Sans Light" w:cs="Open Sans Light"/>
        </w:rPr>
        <w:t>Il Soggetto realizzatore (Appaltatore) dovrà assicurare quanto previsto dal progetto</w:t>
      </w:r>
      <w:r>
        <w:rPr>
          <w:rFonts w:ascii="Open Sans Light" w:hAnsi="Open Sans Light" w:cs="Open Sans Light"/>
        </w:rPr>
        <w:t xml:space="preserve"> esecutivo</w:t>
      </w:r>
      <w:r w:rsidRPr="00BD4316">
        <w:rPr>
          <w:rFonts w:ascii="Open Sans Light" w:hAnsi="Open Sans Light" w:cs="Open Sans Light"/>
        </w:rPr>
        <w:t xml:space="preserve"> per</w:t>
      </w:r>
      <w:r>
        <w:rPr>
          <w:rFonts w:ascii="Open Sans Light" w:hAnsi="Open Sans Light" w:cs="Open Sans Light"/>
        </w:rPr>
        <w:t xml:space="preserve"> </w:t>
      </w:r>
      <w:r w:rsidRPr="00BD4316">
        <w:rPr>
          <w:rFonts w:ascii="Open Sans Light" w:hAnsi="Open Sans Light" w:cs="Open Sans Light"/>
        </w:rPr>
        <w:t>la gestione del cantiere e dei rifiuti e per quanto riguarda l’approvvigionamento dei</w:t>
      </w:r>
      <w:r>
        <w:rPr>
          <w:rFonts w:ascii="Open Sans Light" w:hAnsi="Open Sans Light" w:cs="Open Sans Light"/>
        </w:rPr>
        <w:t xml:space="preserve"> </w:t>
      </w:r>
      <w:r w:rsidRPr="00BD4316">
        <w:rPr>
          <w:rFonts w:ascii="Open Sans Light" w:hAnsi="Open Sans Light" w:cs="Open Sans Light"/>
        </w:rPr>
        <w:t>materiali e componenti; dovrà, inoltre, conservare le certificazioni di prodotto indicate</w:t>
      </w:r>
      <w:r>
        <w:rPr>
          <w:rFonts w:ascii="Open Sans Light" w:hAnsi="Open Sans Light" w:cs="Open Sans Light"/>
        </w:rPr>
        <w:t xml:space="preserve"> </w:t>
      </w:r>
      <w:r w:rsidRPr="00BD4316">
        <w:rPr>
          <w:rFonts w:ascii="Open Sans Light" w:hAnsi="Open Sans Light" w:cs="Open Sans Light"/>
        </w:rPr>
        <w:t>nel Capitolato speciale di appalto.</w:t>
      </w:r>
    </w:p>
    <w:p w14:paraId="0C99C7BB" w14:textId="77777777" w:rsidR="003D08A4" w:rsidRDefault="003D08A4" w:rsidP="00063549">
      <w:pPr>
        <w:pBdr>
          <w:top w:val="single" w:sz="4" w:space="1" w:color="auto"/>
          <w:left w:val="single" w:sz="4" w:space="4" w:color="auto"/>
          <w:bottom w:val="single" w:sz="4" w:space="1" w:color="auto"/>
          <w:right w:val="single" w:sz="4" w:space="4" w:color="auto"/>
        </w:pBdr>
        <w:shd w:val="clear" w:color="auto" w:fill="D9E2F3" w:themeFill="accent1" w:themeFillTint="33"/>
        <w:ind w:left="412" w:firstLine="0"/>
        <w:rPr>
          <w:rFonts w:ascii="Open Sans Light" w:hAnsi="Open Sans Light" w:cs="Open Sans Light"/>
        </w:rPr>
      </w:pPr>
    </w:p>
    <w:p w14:paraId="5E3C33F7" w14:textId="562D337C" w:rsidR="00DE36BB" w:rsidRPr="005056CD" w:rsidRDefault="00DE36BB" w:rsidP="0050687D">
      <w:pPr>
        <w:ind w:left="454" w:right="454" w:firstLine="0"/>
        <w:rPr>
          <w:rFonts w:ascii="Open Sans Light" w:hAnsi="Open Sans Light" w:cs="Open Sans Light"/>
        </w:rPr>
      </w:pPr>
      <w:r w:rsidRPr="001872D0">
        <w:rPr>
          <w:rFonts w:ascii="Open Sans Light" w:hAnsi="Open Sans Light" w:cs="Open Sans Light"/>
          <w:b/>
          <w:bCs/>
        </w:rPr>
        <w:t>Una volta espletate e concluse le fasi di gara</w:t>
      </w:r>
      <w:r w:rsidR="00256E31">
        <w:rPr>
          <w:rFonts w:ascii="Open Sans Light" w:hAnsi="Open Sans Light" w:cs="Open Sans Light"/>
          <w:b/>
          <w:bCs/>
        </w:rPr>
        <w:t>,</w:t>
      </w:r>
      <w:r w:rsidRPr="001872D0">
        <w:rPr>
          <w:rFonts w:ascii="Open Sans Light" w:hAnsi="Open Sans Light" w:cs="Open Sans Light"/>
          <w:b/>
          <w:bCs/>
        </w:rPr>
        <w:t xml:space="preserve"> </w:t>
      </w:r>
      <w:r w:rsidRPr="00256E31">
        <w:rPr>
          <w:rFonts w:ascii="Open Sans Light" w:hAnsi="Open Sans Light" w:cs="Open Sans Light"/>
          <w:b/>
          <w:bCs/>
        </w:rPr>
        <w:t>tutta</w:t>
      </w:r>
      <w:r w:rsidRPr="001872D0">
        <w:rPr>
          <w:rFonts w:ascii="Open Sans Light" w:hAnsi="Open Sans Light" w:cs="Open Sans Light"/>
          <w:b/>
          <w:bCs/>
        </w:rPr>
        <w:t xml:space="preserve"> la documentazione a comprova dovrà essere acquisita dal </w:t>
      </w:r>
      <w:r w:rsidR="004120E7">
        <w:rPr>
          <w:rFonts w:ascii="Open Sans Light" w:hAnsi="Open Sans Light" w:cs="Open Sans Light"/>
          <w:b/>
          <w:bCs/>
        </w:rPr>
        <w:t>Soggetto attuatore</w:t>
      </w:r>
      <w:r w:rsidRPr="001872D0">
        <w:rPr>
          <w:rFonts w:ascii="Open Sans Light" w:hAnsi="Open Sans Light" w:cs="Open Sans Light"/>
          <w:b/>
          <w:bCs/>
        </w:rPr>
        <w:t xml:space="preserve"> e sarà propedeutica alla stipula del Contratto. </w:t>
      </w:r>
    </w:p>
    <w:p w14:paraId="0628D05D" w14:textId="41FE4087" w:rsidR="00DF2BF4" w:rsidRDefault="00A04502" w:rsidP="0050687D">
      <w:pPr>
        <w:ind w:left="454" w:right="454" w:firstLine="0"/>
        <w:rPr>
          <w:rFonts w:ascii="Open Sans Light" w:hAnsi="Open Sans Light" w:cs="Open Sans Light"/>
        </w:rPr>
      </w:pPr>
      <w:r w:rsidRPr="00D3198B">
        <w:rPr>
          <w:rFonts w:ascii="Open Sans Light" w:hAnsi="Open Sans Light" w:cs="Open Sans Light"/>
        </w:rPr>
        <w:t xml:space="preserve">Nella fase di </w:t>
      </w:r>
      <w:r w:rsidRPr="00D3198B">
        <w:rPr>
          <w:rFonts w:ascii="Open Sans Light" w:hAnsi="Open Sans Light" w:cs="Open Sans Light"/>
          <w:b/>
        </w:rPr>
        <w:t>stipula del contratto</w:t>
      </w:r>
      <w:r w:rsidRPr="00D3198B">
        <w:rPr>
          <w:rFonts w:ascii="Open Sans Light" w:hAnsi="Open Sans Light" w:cs="Open Sans Light"/>
        </w:rPr>
        <w:t xml:space="preserve"> con il </w:t>
      </w:r>
      <w:r w:rsidR="00F83DDB">
        <w:rPr>
          <w:rFonts w:ascii="Open Sans Light" w:hAnsi="Open Sans Light" w:cs="Open Sans Light"/>
        </w:rPr>
        <w:t>Soggetto realizzatore</w:t>
      </w:r>
      <w:r w:rsidRPr="00D3198B">
        <w:rPr>
          <w:rFonts w:ascii="Open Sans Light" w:hAnsi="Open Sans Light" w:cs="Open Sans Light"/>
        </w:rPr>
        <w:t>, sarà necessario verificare che nei documenti contrattuali sia indicata</w:t>
      </w:r>
      <w:r w:rsidR="00FE57B4">
        <w:rPr>
          <w:rFonts w:ascii="Open Sans Light" w:hAnsi="Open Sans Light" w:cs="Open Sans Light"/>
        </w:rPr>
        <w:t>,</w:t>
      </w:r>
      <w:r w:rsidRPr="00D3198B">
        <w:rPr>
          <w:rFonts w:ascii="Open Sans Light" w:hAnsi="Open Sans Light" w:cs="Open Sans Light"/>
        </w:rPr>
        <w:t xml:space="preserve"> tra gli obblighi del </w:t>
      </w:r>
      <w:r w:rsidR="00F83DDB">
        <w:rPr>
          <w:rFonts w:ascii="Open Sans Light" w:hAnsi="Open Sans Light" w:cs="Open Sans Light"/>
        </w:rPr>
        <w:t>Soggetto realizzatore</w:t>
      </w:r>
      <w:r w:rsidR="00FE57B4">
        <w:rPr>
          <w:rFonts w:ascii="Open Sans Light" w:hAnsi="Open Sans Light" w:cs="Open Sans Light"/>
        </w:rPr>
        <w:t>,</w:t>
      </w:r>
      <w:r w:rsidRPr="00D3198B">
        <w:rPr>
          <w:rFonts w:ascii="Open Sans Light" w:hAnsi="Open Sans Light" w:cs="Open Sans Light"/>
        </w:rPr>
        <w:t xml:space="preserve"> il rispetto dei requisiti del DNSH richiamati dalla Programmazione di dettaglio e dagli atti programmatici relativi all’Intervento/Misura di riferimento nonché verificare le eventuali attestazioni acquisite dal </w:t>
      </w:r>
      <w:r w:rsidR="00FE57B4">
        <w:rPr>
          <w:rFonts w:ascii="Open Sans Light" w:hAnsi="Open Sans Light" w:cs="Open Sans Light"/>
        </w:rPr>
        <w:t>S</w:t>
      </w:r>
      <w:r w:rsidRPr="00D3198B">
        <w:rPr>
          <w:rFonts w:ascii="Open Sans Light" w:hAnsi="Open Sans Light" w:cs="Open Sans Light"/>
        </w:rPr>
        <w:t xml:space="preserve">oggetto </w:t>
      </w:r>
      <w:r w:rsidR="00FE57B4">
        <w:rPr>
          <w:rFonts w:ascii="Open Sans Light" w:hAnsi="Open Sans Light" w:cs="Open Sans Light"/>
        </w:rPr>
        <w:t>r</w:t>
      </w:r>
      <w:r w:rsidRPr="00D3198B">
        <w:rPr>
          <w:rFonts w:ascii="Open Sans Light" w:hAnsi="Open Sans Light" w:cs="Open Sans Light"/>
        </w:rPr>
        <w:t xml:space="preserve">ealizzatore in fase di </w:t>
      </w:r>
      <w:r w:rsidR="00F3733F">
        <w:rPr>
          <w:rFonts w:ascii="Open Sans Light" w:hAnsi="Open Sans Light" w:cs="Open Sans Light"/>
        </w:rPr>
        <w:t xml:space="preserve">selezione e/o </w:t>
      </w:r>
      <w:r w:rsidRPr="00D3198B">
        <w:rPr>
          <w:rFonts w:ascii="Open Sans Light" w:hAnsi="Open Sans Light" w:cs="Open Sans Light"/>
        </w:rPr>
        <w:t>aggiudicazione.</w:t>
      </w:r>
      <w:r w:rsidR="00DF2BF4">
        <w:rPr>
          <w:rFonts w:ascii="Open Sans Light" w:hAnsi="Open Sans Light" w:cs="Open Sans Light"/>
        </w:rPr>
        <w:t xml:space="preserve"> </w:t>
      </w:r>
      <w:r w:rsidR="00DF2BF4" w:rsidRPr="005056CD">
        <w:rPr>
          <w:rFonts w:ascii="Open Sans Light" w:hAnsi="Open Sans Light" w:cs="Open Sans Light"/>
        </w:rPr>
        <w:t xml:space="preserve">Il </w:t>
      </w:r>
      <w:r w:rsidR="00DF2BF4">
        <w:rPr>
          <w:rFonts w:ascii="Open Sans Light" w:hAnsi="Open Sans Light" w:cs="Open Sans Light"/>
        </w:rPr>
        <w:t>Soggetto attuatore</w:t>
      </w:r>
      <w:r w:rsidR="00DF2BF4" w:rsidRPr="005056CD">
        <w:rPr>
          <w:rFonts w:ascii="Open Sans Light" w:hAnsi="Open Sans Light" w:cs="Open Sans Light"/>
        </w:rPr>
        <w:t xml:space="preserve"> potrà, inoltre, richiedere al Soggetto </w:t>
      </w:r>
      <w:r w:rsidR="00FE57B4">
        <w:rPr>
          <w:rFonts w:ascii="Open Sans Light" w:hAnsi="Open Sans Light" w:cs="Open Sans Light"/>
        </w:rPr>
        <w:t>r</w:t>
      </w:r>
      <w:r w:rsidR="00DF2BF4" w:rsidRPr="005056CD">
        <w:rPr>
          <w:rFonts w:ascii="Open Sans Light" w:hAnsi="Open Sans Light" w:cs="Open Sans Light"/>
        </w:rPr>
        <w:t xml:space="preserve">ealizzatore il rispetto di eventuali ulteriori requisiti tecnici e ambientali, ivi inclusa la relativa documentazione a comprova del rispetto degli stessi, introdotti successivamente alla pubblicazione della gara dalla normativa europea e nazionale in ottemperanza al principio di non arrecare un danno significativo all’ambiente “Do No </w:t>
      </w:r>
      <w:proofErr w:type="spellStart"/>
      <w:r w:rsidR="00DF2BF4" w:rsidRPr="005056CD">
        <w:rPr>
          <w:rFonts w:ascii="Open Sans Light" w:hAnsi="Open Sans Light" w:cs="Open Sans Light"/>
        </w:rPr>
        <w:t>Significant</w:t>
      </w:r>
      <w:proofErr w:type="spellEnd"/>
      <w:r w:rsidR="00DF2BF4" w:rsidRPr="005056CD">
        <w:rPr>
          <w:rFonts w:ascii="Open Sans Light" w:hAnsi="Open Sans Light" w:cs="Open Sans Light"/>
        </w:rPr>
        <w:t xml:space="preserve"> </w:t>
      </w:r>
      <w:proofErr w:type="spellStart"/>
      <w:r w:rsidR="00DF2BF4" w:rsidRPr="005056CD">
        <w:rPr>
          <w:rFonts w:ascii="Open Sans Light" w:hAnsi="Open Sans Light" w:cs="Open Sans Light"/>
        </w:rPr>
        <w:t>Harm</w:t>
      </w:r>
      <w:proofErr w:type="spellEnd"/>
      <w:r w:rsidR="00DF2BF4" w:rsidRPr="005056CD">
        <w:rPr>
          <w:rFonts w:ascii="Open Sans Light" w:hAnsi="Open Sans Light" w:cs="Open Sans Light"/>
        </w:rPr>
        <w:t>” (DNSH).</w:t>
      </w:r>
    </w:p>
    <w:p w14:paraId="240A6ED1" w14:textId="0FB795FC" w:rsidR="00901238" w:rsidRPr="00DF2BF4" w:rsidRDefault="00DF2BF4" w:rsidP="0050687D">
      <w:pPr>
        <w:ind w:left="454" w:right="454"/>
        <w:rPr>
          <w:rFonts w:ascii="Open Sans Light" w:hAnsi="Open Sans Light" w:cs="Open Sans Light"/>
        </w:rPr>
      </w:pPr>
      <w:r w:rsidRPr="00DF2BF4">
        <w:rPr>
          <w:rFonts w:ascii="Open Sans Light" w:hAnsi="Open Sans Light" w:cs="Open Sans Light"/>
        </w:rPr>
        <w:t xml:space="preserve">Il rispetto del Principio del DNSH non si esaurisce con la selezione </w:t>
      </w:r>
      <w:r w:rsidR="00F21EE4">
        <w:rPr>
          <w:rFonts w:ascii="Open Sans Light" w:hAnsi="Open Sans Light" w:cs="Open Sans Light"/>
        </w:rPr>
        <w:t>del</w:t>
      </w:r>
      <w:r w:rsidRPr="00DF2BF4">
        <w:rPr>
          <w:rFonts w:ascii="Open Sans Light" w:hAnsi="Open Sans Light" w:cs="Open Sans Light"/>
        </w:rPr>
        <w:t xml:space="preserve"> </w:t>
      </w:r>
      <w:r w:rsidR="00F83DDB">
        <w:rPr>
          <w:rFonts w:ascii="Open Sans Light" w:hAnsi="Open Sans Light" w:cs="Open Sans Light"/>
        </w:rPr>
        <w:t>Soggetto realizzatore</w:t>
      </w:r>
      <w:r>
        <w:rPr>
          <w:rFonts w:ascii="Open Sans Light" w:hAnsi="Open Sans Light" w:cs="Open Sans Light"/>
        </w:rPr>
        <w:t>,</w:t>
      </w:r>
      <w:r w:rsidRPr="00DF2BF4">
        <w:rPr>
          <w:rFonts w:ascii="Open Sans Light" w:hAnsi="Open Sans Light" w:cs="Open Sans Light"/>
        </w:rPr>
        <w:t xml:space="preserve"> ma la compliance a tale principio andrà verificata</w:t>
      </w:r>
      <w:r w:rsidR="00F21EE4">
        <w:rPr>
          <w:rFonts w:ascii="Open Sans Light" w:hAnsi="Open Sans Light" w:cs="Open Sans Light"/>
        </w:rPr>
        <w:t xml:space="preserve"> dal </w:t>
      </w:r>
      <w:r w:rsidR="00F83DDB">
        <w:rPr>
          <w:rFonts w:ascii="Open Sans Light" w:hAnsi="Open Sans Light" w:cs="Open Sans Light"/>
        </w:rPr>
        <w:t>Soggetto attuatore</w:t>
      </w:r>
      <w:r w:rsidRPr="00DF2BF4">
        <w:rPr>
          <w:rFonts w:ascii="Open Sans Light" w:hAnsi="Open Sans Light" w:cs="Open Sans Light"/>
        </w:rPr>
        <w:t xml:space="preserve"> anche nel corso dell’attuazione ed esecuzione del progetto e fino alla sua conclusione. </w:t>
      </w:r>
    </w:p>
    <w:p w14:paraId="604398B8" w14:textId="533C9008" w:rsidR="00FB2F37" w:rsidRDefault="00FB2F37" w:rsidP="0050687D">
      <w:pPr>
        <w:ind w:left="454" w:right="454" w:firstLine="0"/>
      </w:pPr>
      <w:r w:rsidRPr="00CA2E43">
        <w:rPr>
          <w:rFonts w:ascii="Open Sans Light" w:hAnsi="Open Sans Light" w:cs="Open Sans Light"/>
        </w:rPr>
        <w:t xml:space="preserve">Il Soggetto attuatore, nella fase di </w:t>
      </w:r>
      <w:r w:rsidR="00F21EE4">
        <w:rPr>
          <w:rFonts w:ascii="Open Sans Light" w:hAnsi="Open Sans Light" w:cs="Open Sans Light"/>
        </w:rPr>
        <w:t>realizzazione</w:t>
      </w:r>
      <w:r w:rsidR="00F21EE4" w:rsidRPr="00CA2E43">
        <w:rPr>
          <w:rFonts w:ascii="Open Sans Light" w:hAnsi="Open Sans Light" w:cs="Open Sans Light"/>
        </w:rPr>
        <w:t xml:space="preserve"> </w:t>
      </w:r>
      <w:r w:rsidRPr="00CA2E43">
        <w:rPr>
          <w:rFonts w:ascii="Open Sans Light" w:hAnsi="Open Sans Light" w:cs="Open Sans Light"/>
        </w:rPr>
        <w:t>del progetto di propria responsabilità, assume</w:t>
      </w:r>
      <w:r w:rsidR="00F21EE4">
        <w:rPr>
          <w:rFonts w:ascii="Open Sans Light" w:hAnsi="Open Sans Light" w:cs="Open Sans Light"/>
        </w:rPr>
        <w:t xml:space="preserve"> infatti</w:t>
      </w:r>
      <w:r w:rsidRPr="00CA2E43">
        <w:rPr>
          <w:rFonts w:ascii="Open Sans Light" w:hAnsi="Open Sans Light" w:cs="Open Sans Light"/>
        </w:rPr>
        <w:t xml:space="preserve"> specifici obblighi in tema di controllo del rispetto delle condizionalità e di tutti gli ulteriori requisiti connessi alle Misure (investimenti/riforme) PNRR, in particolare del principio DNSH. In fase ex post, in qualsiasi momento durante l’espletamento delle fasi di controllo e monitoraggio e a conclusione dei progetti di investimento</w:t>
      </w:r>
      <w:r w:rsidR="00F21EE4">
        <w:rPr>
          <w:rFonts w:ascii="Open Sans Light" w:hAnsi="Open Sans Light" w:cs="Open Sans Light"/>
        </w:rPr>
        <w:t>,</w:t>
      </w:r>
      <w:r w:rsidRPr="00CA2E43">
        <w:rPr>
          <w:rFonts w:ascii="Open Sans Light" w:hAnsi="Open Sans Light" w:cs="Open Sans Light"/>
        </w:rPr>
        <w:t xml:space="preserve"> si terrà conto di quanto previsto in fase ex ante relativamente al corretto assolvimento degli adempimenti </w:t>
      </w:r>
      <w:r>
        <w:rPr>
          <w:rFonts w:ascii="Open Sans Light" w:hAnsi="Open Sans Light" w:cs="Open Sans Light"/>
        </w:rPr>
        <w:t>previsti.</w:t>
      </w:r>
      <w:r>
        <w:t xml:space="preserve"> </w:t>
      </w:r>
    </w:p>
    <w:p w14:paraId="7F595182" w14:textId="469827E6" w:rsidR="00CE142B" w:rsidRPr="00CA2E43" w:rsidRDefault="00F61C20" w:rsidP="0050687D">
      <w:pPr>
        <w:ind w:left="454" w:right="454" w:firstLine="0"/>
        <w:rPr>
          <w:rFonts w:ascii="Open Sans Light" w:hAnsi="Open Sans Light" w:cs="Open Sans Light"/>
        </w:rPr>
      </w:pPr>
      <w:r w:rsidRPr="00256E31">
        <w:rPr>
          <w:rFonts w:ascii="Open Sans Light" w:hAnsi="Open Sans Light" w:cs="Open Sans Light"/>
        </w:rPr>
        <w:lastRenderedPageBreak/>
        <w:t xml:space="preserve">Per quanto concerne </w:t>
      </w:r>
      <w:r w:rsidR="001E3D3B" w:rsidRPr="00256E31">
        <w:rPr>
          <w:rFonts w:ascii="Open Sans Light" w:hAnsi="Open Sans Light" w:cs="Open Sans Light"/>
        </w:rPr>
        <w:t>l</w:t>
      </w:r>
      <w:r w:rsidR="00D23D1C" w:rsidRPr="00256E31">
        <w:rPr>
          <w:rFonts w:ascii="Open Sans Light" w:hAnsi="Open Sans Light" w:cs="Open Sans Light"/>
        </w:rPr>
        <w:t xml:space="preserve">e modalità di </w:t>
      </w:r>
      <w:r w:rsidR="00D3613D" w:rsidRPr="00256E31">
        <w:rPr>
          <w:rFonts w:ascii="Open Sans Light" w:hAnsi="Open Sans Light" w:cs="Open Sans Light"/>
        </w:rPr>
        <w:t xml:space="preserve">verifica </w:t>
      </w:r>
      <w:r w:rsidR="001E3D3B" w:rsidRPr="00256E31">
        <w:rPr>
          <w:rFonts w:ascii="Open Sans Light" w:hAnsi="Open Sans Light" w:cs="Open Sans Light"/>
        </w:rPr>
        <w:t>del</w:t>
      </w:r>
      <w:r w:rsidR="00C5307C" w:rsidRPr="00256E31">
        <w:rPr>
          <w:rFonts w:ascii="Open Sans Light" w:hAnsi="Open Sans Light" w:cs="Open Sans Light"/>
        </w:rPr>
        <w:t>la compliance al DNSH</w:t>
      </w:r>
      <w:r w:rsidR="00F21EE4">
        <w:rPr>
          <w:rFonts w:ascii="Open Sans Light" w:hAnsi="Open Sans Light" w:cs="Open Sans Light"/>
        </w:rPr>
        <w:t>,</w:t>
      </w:r>
      <w:r w:rsidR="00CE142B" w:rsidRPr="00256E31">
        <w:rPr>
          <w:rFonts w:ascii="Open Sans Light" w:hAnsi="Open Sans Light" w:cs="Open Sans Light"/>
        </w:rPr>
        <w:t xml:space="preserve"> </w:t>
      </w:r>
      <w:r w:rsidR="00CE142B" w:rsidRPr="00256E31">
        <w:rPr>
          <w:rFonts w:ascii="Open Sans Light" w:hAnsi="Open Sans Light" w:cs="Open Sans Light"/>
          <w:b/>
          <w:bCs/>
        </w:rPr>
        <w:t>in fase di erogazione/pagamento</w:t>
      </w:r>
      <w:r w:rsidR="00CE142B" w:rsidRPr="00256E31">
        <w:rPr>
          <w:rFonts w:ascii="Open Sans Light" w:hAnsi="Open Sans Light" w:cs="Open Sans Light"/>
        </w:rPr>
        <w:t xml:space="preserve"> il </w:t>
      </w:r>
      <w:r w:rsidR="004120E7">
        <w:rPr>
          <w:rFonts w:ascii="Open Sans Light" w:hAnsi="Open Sans Light" w:cs="Open Sans Light"/>
        </w:rPr>
        <w:t>Soggetto attuatore</w:t>
      </w:r>
      <w:r w:rsidR="00CE142B" w:rsidRPr="00256E31">
        <w:rPr>
          <w:rFonts w:ascii="Open Sans Light" w:hAnsi="Open Sans Light" w:cs="Open Sans Light"/>
        </w:rPr>
        <w:t xml:space="preserve"> potrà prevedere l’acquisizione di attestazioni/autodichiarazioni da parte del </w:t>
      </w:r>
      <w:r w:rsidR="00F83DDB">
        <w:rPr>
          <w:rFonts w:ascii="Open Sans Light" w:hAnsi="Open Sans Light" w:cs="Open Sans Light"/>
        </w:rPr>
        <w:t>Soggetto realizzatore</w:t>
      </w:r>
      <w:r w:rsidR="003B642D">
        <w:rPr>
          <w:rFonts w:ascii="Open Sans Light" w:hAnsi="Open Sans Light" w:cs="Open Sans Light"/>
        </w:rPr>
        <w:t xml:space="preserve"> e di ulteriori evidenze documentali a supporto</w:t>
      </w:r>
      <w:r w:rsidR="00CE142B" w:rsidRPr="00256E31">
        <w:rPr>
          <w:rFonts w:ascii="Open Sans Light" w:hAnsi="Open Sans Light" w:cs="Open Sans Light"/>
        </w:rPr>
        <w:t xml:space="preserve">. Infatti, è necessario che il </w:t>
      </w:r>
      <w:r w:rsidR="00F83DDB">
        <w:rPr>
          <w:rFonts w:ascii="Open Sans Light" w:hAnsi="Open Sans Light" w:cs="Open Sans Light"/>
        </w:rPr>
        <w:t>Soggetto realizzatore</w:t>
      </w:r>
      <w:r w:rsidR="00CE142B" w:rsidRPr="00256E31">
        <w:rPr>
          <w:rFonts w:ascii="Open Sans Light" w:hAnsi="Open Sans Light" w:cs="Open Sans Light"/>
        </w:rPr>
        <w:t xml:space="preserve"> </w:t>
      </w:r>
      <w:r w:rsidR="00CE142B" w:rsidRPr="00CA2E43">
        <w:rPr>
          <w:rFonts w:ascii="Open Sans Light" w:hAnsi="Open Sans Light" w:cs="Open Sans Light"/>
        </w:rPr>
        <w:t xml:space="preserve">dimostri il rispetto del principio DNSH, </w:t>
      </w:r>
      <w:r w:rsidR="00661AEC">
        <w:rPr>
          <w:rFonts w:ascii="Open Sans Light" w:hAnsi="Open Sans Light" w:cs="Open Sans Light"/>
        </w:rPr>
        <w:t>mettendo a disposizione del</w:t>
      </w:r>
      <w:r w:rsidR="00CE142B" w:rsidRPr="00CA2E43">
        <w:rPr>
          <w:rFonts w:ascii="Open Sans Light" w:hAnsi="Open Sans Light" w:cs="Open Sans Light"/>
        </w:rPr>
        <w:t xml:space="preserve"> </w:t>
      </w:r>
      <w:r w:rsidR="00F83DDB">
        <w:rPr>
          <w:rFonts w:ascii="Open Sans Light" w:hAnsi="Open Sans Light" w:cs="Open Sans Light"/>
        </w:rPr>
        <w:t>Soggetto attuatore</w:t>
      </w:r>
      <w:r w:rsidR="00CE142B" w:rsidRPr="00CA2E43">
        <w:rPr>
          <w:rFonts w:ascii="Open Sans Light" w:hAnsi="Open Sans Light" w:cs="Open Sans Light"/>
        </w:rPr>
        <w:t xml:space="preserve"> </w:t>
      </w:r>
      <w:r w:rsidR="00661AEC">
        <w:rPr>
          <w:rFonts w:ascii="Open Sans Light" w:hAnsi="Open Sans Light" w:cs="Open Sans Light"/>
        </w:rPr>
        <w:t>tutti gli elementi necessari ai fini delle verifiche propedeutiche al pagamento.</w:t>
      </w:r>
    </w:p>
    <w:p w14:paraId="4226F0AE" w14:textId="0398139F" w:rsidR="002B2F08" w:rsidRPr="002B2F08" w:rsidRDefault="002B2F08" w:rsidP="0050687D">
      <w:pPr>
        <w:ind w:left="454" w:right="454" w:firstLine="0"/>
        <w:rPr>
          <w:rFonts w:ascii="Open Sans Light" w:hAnsi="Open Sans Light" w:cs="Open Sans Light"/>
        </w:rPr>
      </w:pPr>
      <w:r w:rsidRPr="002B2F08">
        <w:rPr>
          <w:rFonts w:ascii="Open Sans Light" w:hAnsi="Open Sans Light" w:cs="Open Sans Light"/>
        </w:rPr>
        <w:t xml:space="preserve">Il </w:t>
      </w:r>
      <w:r w:rsidR="00F83DDB">
        <w:rPr>
          <w:rFonts w:ascii="Open Sans Light" w:hAnsi="Open Sans Light" w:cs="Open Sans Light"/>
        </w:rPr>
        <w:t>Soggetto attuatore</w:t>
      </w:r>
      <w:r w:rsidRPr="002B2F08">
        <w:rPr>
          <w:rFonts w:ascii="Open Sans Light" w:hAnsi="Open Sans Light" w:cs="Open Sans Light"/>
        </w:rPr>
        <w:t xml:space="preserve"> è tenuto a conservare, in formato cartaceo e/o elettronico, tutta la documentazione </w:t>
      </w:r>
      <w:r w:rsidR="00E67498">
        <w:rPr>
          <w:rFonts w:ascii="Open Sans Light" w:hAnsi="Open Sans Light" w:cs="Open Sans Light"/>
        </w:rPr>
        <w:t>probatoria</w:t>
      </w:r>
      <w:r w:rsidRPr="002B2F08">
        <w:rPr>
          <w:rFonts w:ascii="Open Sans Light" w:hAnsi="Open Sans Light" w:cs="Open Sans Light"/>
        </w:rPr>
        <w:t xml:space="preserve">, che consente di dimostrare - in caso di eventuale controllo da parte delle Autorità competenti – il rispetto del principio “Do No </w:t>
      </w:r>
      <w:proofErr w:type="spellStart"/>
      <w:r w:rsidRPr="002B2F08">
        <w:rPr>
          <w:rFonts w:ascii="Open Sans Light" w:hAnsi="Open Sans Light" w:cs="Open Sans Light"/>
        </w:rPr>
        <w:t>Significant</w:t>
      </w:r>
      <w:proofErr w:type="spellEnd"/>
      <w:r w:rsidRPr="002B2F08">
        <w:rPr>
          <w:rFonts w:ascii="Open Sans Light" w:hAnsi="Open Sans Light" w:cs="Open Sans Light"/>
        </w:rPr>
        <w:t xml:space="preserve"> </w:t>
      </w:r>
      <w:proofErr w:type="spellStart"/>
      <w:r w:rsidRPr="002B2F08">
        <w:rPr>
          <w:rFonts w:ascii="Open Sans Light" w:hAnsi="Open Sans Light" w:cs="Open Sans Light"/>
        </w:rPr>
        <w:t>Harm</w:t>
      </w:r>
      <w:proofErr w:type="spellEnd"/>
      <w:r w:rsidRPr="002B2F08">
        <w:rPr>
          <w:rFonts w:ascii="Open Sans Light" w:hAnsi="Open Sans Light" w:cs="Open Sans Light"/>
        </w:rPr>
        <w:t>” (DNSH).</w:t>
      </w:r>
    </w:p>
    <w:p w14:paraId="5E699269" w14:textId="5C1ADA43" w:rsidR="002B2F08" w:rsidRDefault="002B2F08" w:rsidP="0050687D">
      <w:pPr>
        <w:ind w:left="454" w:right="454" w:firstLine="0"/>
        <w:rPr>
          <w:rFonts w:ascii="Open Sans Light" w:hAnsi="Open Sans Light" w:cs="Open Sans Light"/>
        </w:rPr>
      </w:pPr>
      <w:r w:rsidRPr="002B2F08">
        <w:rPr>
          <w:rFonts w:ascii="Open Sans Light" w:hAnsi="Open Sans Light" w:cs="Open Sans Light"/>
        </w:rPr>
        <w:t>La raccolta e la conservazione di tutti gli elementi di verifica è un aspetto importante in quanto permetterà, in caso di verifica all’Investimento in oggetto, di dimostrare la “sostenibilità ai criteri ambientali EU” dell’intervento, senza ricorrere ad altre interpretazioni.</w:t>
      </w:r>
    </w:p>
    <w:p w14:paraId="3350DB50" w14:textId="32967CF2" w:rsidR="0045369F" w:rsidRDefault="0045369F" w:rsidP="00D518B2">
      <w:pPr>
        <w:pStyle w:val="Titolo2"/>
      </w:pPr>
      <w:bookmarkStart w:id="6" w:name="_Toc152582341"/>
      <w:r>
        <w:t>Focus Criteri Ambientali Minimi</w:t>
      </w:r>
      <w:bookmarkEnd w:id="6"/>
      <w:r w:rsidR="00FC74A2">
        <w:t xml:space="preserve"> </w:t>
      </w:r>
    </w:p>
    <w:p w14:paraId="037D9037" w14:textId="77777777" w:rsidR="0045369F" w:rsidRPr="0045369F" w:rsidRDefault="0045369F" w:rsidP="0045369F">
      <w:pPr>
        <w:pBdr>
          <w:top w:val="single" w:sz="4" w:space="1" w:color="auto"/>
          <w:left w:val="single" w:sz="4" w:space="4" w:color="auto"/>
          <w:bottom w:val="single" w:sz="4" w:space="1" w:color="auto"/>
          <w:right w:val="single" w:sz="4" w:space="4" w:color="auto"/>
        </w:pBdr>
        <w:shd w:val="clear" w:color="auto" w:fill="D9E2F3" w:themeFill="accent1" w:themeFillTint="33"/>
        <w:autoSpaceDE w:val="0"/>
        <w:autoSpaceDN w:val="0"/>
        <w:adjustRightInd w:val="0"/>
        <w:spacing w:after="0" w:line="240" w:lineRule="auto"/>
        <w:rPr>
          <w:rFonts w:ascii="Open Sans Light" w:hAnsi="Open Sans Light" w:cs="Open Sans Light"/>
          <w:i/>
          <w:iCs/>
        </w:rPr>
      </w:pPr>
      <w:r w:rsidRPr="0045369F">
        <w:rPr>
          <w:rFonts w:ascii="Open Sans Light" w:hAnsi="Open Sans Light" w:cs="Open Sans Light"/>
          <w:i/>
          <w:iCs/>
        </w:rPr>
        <w:t xml:space="preserve">I CAM sono adottati con decreto del Ministero dell’Ambiente e della Sicurezza Energetica e mirano a selezionare prodotti, servizi o lavori migliori dal punto di vista ambientale. </w:t>
      </w:r>
    </w:p>
    <w:p w14:paraId="03123EEA" w14:textId="59D19215" w:rsidR="0045369F" w:rsidRPr="0045369F" w:rsidRDefault="0045369F" w:rsidP="0045369F">
      <w:pPr>
        <w:pBdr>
          <w:top w:val="single" w:sz="4" w:space="1" w:color="auto"/>
          <w:left w:val="single" w:sz="4" w:space="4" w:color="auto"/>
          <w:bottom w:val="single" w:sz="4" w:space="1" w:color="auto"/>
          <w:right w:val="single" w:sz="4" w:space="4" w:color="auto"/>
        </w:pBdr>
        <w:shd w:val="clear" w:color="auto" w:fill="D9E2F3" w:themeFill="accent1" w:themeFillTint="33"/>
        <w:autoSpaceDE w:val="0"/>
        <w:autoSpaceDN w:val="0"/>
        <w:adjustRightInd w:val="0"/>
        <w:spacing w:after="0" w:line="240" w:lineRule="auto"/>
        <w:rPr>
          <w:rFonts w:ascii="Open Sans Light" w:hAnsi="Open Sans Light" w:cs="Open Sans Light"/>
          <w:b/>
          <w:bCs/>
          <w:i/>
          <w:iCs/>
        </w:rPr>
      </w:pPr>
      <w:r w:rsidRPr="0045369F">
        <w:rPr>
          <w:rFonts w:ascii="Open Sans Light" w:hAnsi="Open Sans Light" w:cs="Open Sans Light"/>
          <w:i/>
          <w:iCs/>
        </w:rPr>
        <w:t xml:space="preserve">Come stabilito nella Comunicazione della Commissione EU 2021/C 58/01 “Orientamenti tecnici sull’applicazione del principio </w:t>
      </w:r>
      <w:r w:rsidR="003141B8">
        <w:rPr>
          <w:rFonts w:ascii="Open Sans Light" w:hAnsi="Open Sans Light" w:cs="Open Sans Light"/>
          <w:i/>
          <w:iCs/>
        </w:rPr>
        <w:t>&lt;&lt;</w:t>
      </w:r>
      <w:r w:rsidRPr="0045369F">
        <w:rPr>
          <w:rFonts w:ascii="Open Sans Light" w:hAnsi="Open Sans Light" w:cs="Open Sans Light"/>
          <w:i/>
          <w:iCs/>
        </w:rPr>
        <w:t>non arrecare un danno significativo</w:t>
      </w:r>
      <w:r w:rsidR="003141B8">
        <w:rPr>
          <w:rFonts w:ascii="Open Sans Light" w:hAnsi="Open Sans Light" w:cs="Open Sans Light"/>
          <w:i/>
          <w:iCs/>
        </w:rPr>
        <w:t>&gt;&gt;</w:t>
      </w:r>
      <w:r w:rsidRPr="0045369F">
        <w:rPr>
          <w:rFonts w:ascii="Open Sans Light" w:hAnsi="Open Sans Light" w:cs="Open Sans Light"/>
          <w:i/>
          <w:iCs/>
        </w:rPr>
        <w:t xml:space="preserve"> a norma del regolamento sul dispositivo di ripresa e resilienza</w:t>
      </w:r>
      <w:r w:rsidR="00DC3C5B">
        <w:rPr>
          <w:rFonts w:ascii="Open Sans Light" w:hAnsi="Open Sans Light" w:cs="Open Sans Light"/>
          <w:i/>
          <w:iCs/>
        </w:rPr>
        <w:t xml:space="preserve">” </w:t>
      </w:r>
      <w:r w:rsidRPr="0045369F">
        <w:rPr>
          <w:rFonts w:ascii="Open Sans Light" w:hAnsi="Open Sans Light" w:cs="Open Sans Light"/>
          <w:i/>
          <w:iCs/>
        </w:rPr>
        <w:t xml:space="preserve">i CAM rappresentano un </w:t>
      </w:r>
      <w:r w:rsidRPr="0045369F">
        <w:rPr>
          <w:rFonts w:ascii="Open Sans Light" w:hAnsi="Open Sans Light" w:cs="Open Sans Light"/>
          <w:b/>
          <w:bCs/>
          <w:i/>
          <w:iCs/>
        </w:rPr>
        <w:t xml:space="preserve">elemento di prova trasversale per il rispetto del principio DNSH. </w:t>
      </w:r>
    </w:p>
    <w:p w14:paraId="6E043B92" w14:textId="551EEC2F" w:rsidR="0045369F" w:rsidRPr="0045369F" w:rsidRDefault="0045369F" w:rsidP="0045369F">
      <w:pPr>
        <w:pBdr>
          <w:top w:val="single" w:sz="4" w:space="1" w:color="auto"/>
          <w:left w:val="single" w:sz="4" w:space="4" w:color="auto"/>
          <w:bottom w:val="single" w:sz="4" w:space="1" w:color="auto"/>
          <w:right w:val="single" w:sz="4" w:space="4" w:color="auto"/>
        </w:pBdr>
        <w:shd w:val="clear" w:color="auto" w:fill="D9E2F3" w:themeFill="accent1" w:themeFillTint="33"/>
        <w:autoSpaceDE w:val="0"/>
        <w:autoSpaceDN w:val="0"/>
        <w:adjustRightInd w:val="0"/>
        <w:spacing w:after="0" w:line="240" w:lineRule="auto"/>
        <w:rPr>
          <w:rFonts w:ascii="Open Sans Light" w:hAnsi="Open Sans Light" w:cs="Open Sans Light"/>
          <w:i/>
          <w:iCs/>
        </w:rPr>
      </w:pPr>
      <w:r w:rsidRPr="0045369F">
        <w:rPr>
          <w:rFonts w:ascii="Open Sans Light" w:hAnsi="Open Sans Light" w:cs="Open Sans Light"/>
          <w:i/>
          <w:iCs/>
        </w:rPr>
        <w:t xml:space="preserve">L’applicazione dei CAM può </w:t>
      </w:r>
      <w:r w:rsidR="00C2174D">
        <w:rPr>
          <w:rFonts w:ascii="Open Sans Light" w:hAnsi="Open Sans Light" w:cs="Open Sans Light"/>
          <w:i/>
          <w:iCs/>
        </w:rPr>
        <w:t xml:space="preserve">dunque </w:t>
      </w:r>
      <w:r w:rsidRPr="0045369F">
        <w:rPr>
          <w:rFonts w:ascii="Open Sans Light" w:hAnsi="Open Sans Light" w:cs="Open Sans Light"/>
          <w:i/>
          <w:iCs/>
        </w:rPr>
        <w:t xml:space="preserve">coincidere con il rispetto del requisito tassonomico; tuttavia, in alcuni casi ciò potrebbe non essere sufficiente. Per tale motivo, ai fini della compilazione degli elementi di verifica </w:t>
      </w:r>
      <w:r w:rsidR="00DC3C5B">
        <w:rPr>
          <w:rFonts w:ascii="Open Sans Light" w:hAnsi="Open Sans Light" w:cs="Open Sans Light"/>
          <w:i/>
          <w:iCs/>
        </w:rPr>
        <w:t>contenuti</w:t>
      </w:r>
      <w:r w:rsidRPr="0045369F">
        <w:rPr>
          <w:rFonts w:ascii="Open Sans Light" w:hAnsi="Open Sans Light" w:cs="Open Sans Light"/>
          <w:i/>
          <w:iCs/>
        </w:rPr>
        <w:t xml:space="preserve"> </w:t>
      </w:r>
      <w:r w:rsidR="00DC3C5B">
        <w:rPr>
          <w:rFonts w:ascii="Open Sans Light" w:hAnsi="Open Sans Light" w:cs="Open Sans Light"/>
          <w:i/>
          <w:iCs/>
        </w:rPr>
        <w:t>nel</w:t>
      </w:r>
      <w:r w:rsidRPr="0045369F">
        <w:rPr>
          <w:rFonts w:ascii="Open Sans Light" w:hAnsi="Open Sans Light" w:cs="Open Sans Light"/>
          <w:i/>
          <w:iCs/>
        </w:rPr>
        <w:t xml:space="preserve">le Check list connesse alle Schede tecniche è necessaria una valutazione caso per caso. </w:t>
      </w:r>
    </w:p>
    <w:p w14:paraId="27F85AFF" w14:textId="0B3511D5" w:rsidR="0045369F" w:rsidRPr="0045369F" w:rsidRDefault="00F20214" w:rsidP="002F3FD0">
      <w:pPr>
        <w:pBdr>
          <w:top w:val="single" w:sz="4" w:space="1" w:color="auto"/>
          <w:left w:val="single" w:sz="4" w:space="4" w:color="auto"/>
          <w:bottom w:val="single" w:sz="4" w:space="1" w:color="auto"/>
          <w:right w:val="single" w:sz="4" w:space="4" w:color="auto"/>
        </w:pBdr>
        <w:shd w:val="clear" w:color="auto" w:fill="D9E2F3" w:themeFill="accent1" w:themeFillTint="33"/>
        <w:autoSpaceDE w:val="0"/>
        <w:autoSpaceDN w:val="0"/>
        <w:adjustRightInd w:val="0"/>
        <w:spacing w:after="0" w:line="240" w:lineRule="auto"/>
        <w:rPr>
          <w:rFonts w:ascii="Open Sans Light" w:hAnsi="Open Sans Light" w:cs="Open Sans Light"/>
          <w:i/>
          <w:iCs/>
        </w:rPr>
      </w:pPr>
      <w:r>
        <w:rPr>
          <w:rFonts w:ascii="Open Sans Light" w:hAnsi="Open Sans Light" w:cs="Open Sans Light"/>
          <w:i/>
          <w:iCs/>
        </w:rPr>
        <w:t>i CAM</w:t>
      </w:r>
      <w:r w:rsidR="004F4D93">
        <w:rPr>
          <w:rFonts w:ascii="Open Sans Light" w:hAnsi="Open Sans Light" w:cs="Open Sans Light"/>
          <w:i/>
          <w:iCs/>
        </w:rPr>
        <w:t xml:space="preserve"> possono essere utili ai fini dell’assolvimento del rispetto del principio DNSH</w:t>
      </w:r>
      <w:r w:rsidR="00063103">
        <w:rPr>
          <w:rFonts w:ascii="Open Sans Light" w:hAnsi="Open Sans Light" w:cs="Open Sans Light"/>
          <w:i/>
          <w:iCs/>
        </w:rPr>
        <w:t>, i</w:t>
      </w:r>
      <w:r w:rsidR="004B6FF0">
        <w:rPr>
          <w:rFonts w:ascii="Open Sans Light" w:hAnsi="Open Sans Light" w:cs="Open Sans Light"/>
          <w:i/>
          <w:iCs/>
        </w:rPr>
        <w:t xml:space="preserve">n particolare </w:t>
      </w:r>
      <w:r w:rsidR="00063103">
        <w:rPr>
          <w:rFonts w:ascii="Open Sans Light" w:hAnsi="Open Sans Light" w:cs="Open Sans Light"/>
          <w:i/>
          <w:iCs/>
        </w:rPr>
        <w:t xml:space="preserve">per quanto concerne </w:t>
      </w:r>
      <w:r w:rsidR="004B6FF0" w:rsidRPr="008012C3">
        <w:rPr>
          <w:rFonts w:ascii="Open Sans Light" w:hAnsi="Open Sans Light" w:cs="Open Sans Light"/>
          <w:i/>
          <w:iCs/>
        </w:rPr>
        <w:t xml:space="preserve">le attività di costruzione (scheda 1), di ristrutturazione degli edifici (scheda </w:t>
      </w:r>
      <w:r w:rsidR="00D73119">
        <w:rPr>
          <w:rFonts w:ascii="Open Sans Light" w:hAnsi="Open Sans Light" w:cs="Open Sans Light"/>
          <w:i/>
          <w:iCs/>
        </w:rPr>
        <w:t>2</w:t>
      </w:r>
      <w:r w:rsidR="004B6FF0" w:rsidRPr="008012C3">
        <w:rPr>
          <w:rFonts w:ascii="Open Sans Light" w:hAnsi="Open Sans Light" w:cs="Open Sans Light"/>
          <w:i/>
          <w:iCs/>
        </w:rPr>
        <w:t>)</w:t>
      </w:r>
      <w:r w:rsidR="00BD38FD">
        <w:rPr>
          <w:rFonts w:ascii="Open Sans Light" w:hAnsi="Open Sans Light" w:cs="Open Sans Light"/>
          <w:i/>
          <w:iCs/>
        </w:rPr>
        <w:t xml:space="preserve"> e produzione di elettricità da pannelli solari </w:t>
      </w:r>
      <w:r w:rsidR="005D3216">
        <w:rPr>
          <w:rFonts w:ascii="Open Sans Light" w:hAnsi="Open Sans Light" w:cs="Open Sans Light"/>
          <w:i/>
          <w:iCs/>
        </w:rPr>
        <w:t>(Scheda</w:t>
      </w:r>
      <w:r w:rsidR="00D73119">
        <w:rPr>
          <w:rFonts w:ascii="Open Sans Light" w:hAnsi="Open Sans Light" w:cs="Open Sans Light"/>
          <w:i/>
          <w:iCs/>
        </w:rPr>
        <w:t xml:space="preserve"> 12</w:t>
      </w:r>
      <w:r w:rsidR="005D3216">
        <w:rPr>
          <w:rFonts w:ascii="Open Sans Light" w:hAnsi="Open Sans Light" w:cs="Open Sans Light"/>
          <w:i/>
          <w:iCs/>
        </w:rPr>
        <w:t>)</w:t>
      </w:r>
      <w:r w:rsidR="004B6FF0" w:rsidRPr="008012C3">
        <w:rPr>
          <w:rFonts w:ascii="Open Sans Light" w:hAnsi="Open Sans Light" w:cs="Open Sans Light"/>
          <w:i/>
          <w:iCs/>
        </w:rPr>
        <w:t>.</w:t>
      </w:r>
      <w:r w:rsidR="002F3FD0">
        <w:rPr>
          <w:rFonts w:ascii="Open Sans Light" w:hAnsi="Open Sans Light" w:cs="Open Sans Light"/>
          <w:i/>
          <w:iCs/>
        </w:rPr>
        <w:t xml:space="preserve"> Al</w:t>
      </w:r>
      <w:r w:rsidR="008F1553">
        <w:rPr>
          <w:rFonts w:ascii="Open Sans Light" w:hAnsi="Open Sans Light" w:cs="Open Sans Light"/>
          <w:i/>
          <w:iCs/>
        </w:rPr>
        <w:t xml:space="preserve"> fine</w:t>
      </w:r>
      <w:r w:rsidR="002F3FD0">
        <w:rPr>
          <w:rFonts w:ascii="Open Sans Light" w:hAnsi="Open Sans Light" w:cs="Open Sans Light"/>
          <w:i/>
          <w:iCs/>
        </w:rPr>
        <w:t xml:space="preserve"> di agevolare il lavoro dei soggetti coinvolti nella realizzazione de</w:t>
      </w:r>
      <w:r w:rsidR="0012499E">
        <w:rPr>
          <w:rFonts w:ascii="Open Sans Light" w:hAnsi="Open Sans Light" w:cs="Open Sans Light"/>
          <w:i/>
          <w:iCs/>
        </w:rPr>
        <w:t>ll’</w:t>
      </w:r>
      <w:r w:rsidR="002F3FD0">
        <w:rPr>
          <w:rFonts w:ascii="Open Sans Light" w:hAnsi="Open Sans Light" w:cs="Open Sans Light"/>
          <w:i/>
          <w:iCs/>
        </w:rPr>
        <w:t>investiment</w:t>
      </w:r>
      <w:r w:rsidR="0012499E">
        <w:rPr>
          <w:rFonts w:ascii="Open Sans Light" w:hAnsi="Open Sans Light" w:cs="Open Sans Light"/>
          <w:i/>
          <w:iCs/>
        </w:rPr>
        <w:t>o</w:t>
      </w:r>
      <w:r w:rsidR="002F3FD0">
        <w:rPr>
          <w:rFonts w:ascii="Open Sans Light" w:hAnsi="Open Sans Light" w:cs="Open Sans Light"/>
          <w:i/>
          <w:iCs/>
        </w:rPr>
        <w:t xml:space="preserve"> </w:t>
      </w:r>
      <w:r w:rsidR="001C6847">
        <w:rPr>
          <w:rFonts w:ascii="Open Sans Light" w:hAnsi="Open Sans Light" w:cs="Open Sans Light"/>
          <w:i/>
          <w:iCs/>
        </w:rPr>
        <w:t xml:space="preserve">PNRR di </w:t>
      </w:r>
      <w:r w:rsidR="001C6847" w:rsidRPr="00391DA8">
        <w:rPr>
          <w:rFonts w:ascii="Open Sans Light" w:hAnsi="Open Sans Light" w:cs="Open Sans Light"/>
          <w:i/>
          <w:iCs/>
        </w:rPr>
        <w:t>competenza del M</w:t>
      </w:r>
      <w:r w:rsidR="0012499E" w:rsidRPr="00391DA8">
        <w:rPr>
          <w:rFonts w:ascii="Open Sans Light" w:hAnsi="Open Sans Light" w:cs="Open Sans Light"/>
          <w:i/>
          <w:iCs/>
        </w:rPr>
        <w:t>G</w:t>
      </w:r>
      <w:r w:rsidR="001C6847" w:rsidRPr="0045452F">
        <w:rPr>
          <w:rFonts w:ascii="Open Sans Light" w:hAnsi="Open Sans Light" w:cs="Open Sans Light"/>
          <w:i/>
          <w:iCs/>
        </w:rPr>
        <w:t xml:space="preserve">, </w:t>
      </w:r>
      <w:r w:rsidR="00C365CC" w:rsidRPr="0045452F">
        <w:rPr>
          <w:rFonts w:ascii="Open Sans Light" w:hAnsi="Open Sans Light" w:cs="Open Sans Light"/>
          <w:i/>
          <w:iCs/>
        </w:rPr>
        <w:t>nell’</w:t>
      </w:r>
      <w:r w:rsidR="00C365CC" w:rsidRPr="0045452F">
        <w:rPr>
          <w:rFonts w:ascii="Open Sans Light" w:hAnsi="Open Sans Light" w:cs="Open Sans Light"/>
          <w:i/>
        </w:rPr>
        <w:t xml:space="preserve">Allegato </w:t>
      </w:r>
      <w:r w:rsidR="0045452F" w:rsidRPr="0045452F">
        <w:rPr>
          <w:rFonts w:ascii="Open Sans Light" w:hAnsi="Open Sans Light" w:cs="Open Sans Light"/>
          <w:i/>
        </w:rPr>
        <w:t>“CAM per l’asseverazione del principio DNSH”</w:t>
      </w:r>
      <w:r w:rsidR="00C365CC" w:rsidRPr="0045452F">
        <w:rPr>
          <w:rFonts w:ascii="Open Sans Light" w:hAnsi="Open Sans Light" w:cs="Open Sans Light"/>
          <w:i/>
        </w:rPr>
        <w:t xml:space="preserve"> </w:t>
      </w:r>
      <w:r w:rsidR="00092C54" w:rsidRPr="0045452F">
        <w:rPr>
          <w:rFonts w:ascii="Open Sans Light" w:hAnsi="Open Sans Light" w:cs="Open Sans Light"/>
          <w:i/>
        </w:rPr>
        <w:t>è riportata una correlazione tra i CAM e i singoli punti di controllo</w:t>
      </w:r>
      <w:r w:rsidR="005079BE" w:rsidRPr="0045452F">
        <w:rPr>
          <w:rFonts w:ascii="Open Sans Light" w:hAnsi="Open Sans Light" w:cs="Open Sans Light"/>
          <w:i/>
          <w:iCs/>
        </w:rPr>
        <w:t>.</w:t>
      </w:r>
    </w:p>
    <w:p w14:paraId="0D3416C8" w14:textId="77777777" w:rsidR="00934C6F" w:rsidRDefault="00934C6F" w:rsidP="0050687D">
      <w:pPr>
        <w:ind w:left="454" w:right="454" w:firstLine="0"/>
        <w:rPr>
          <w:rFonts w:ascii="Open Sans Light" w:hAnsi="Open Sans Light" w:cs="Open Sans Light"/>
        </w:rPr>
      </w:pPr>
    </w:p>
    <w:p w14:paraId="664E9E92" w14:textId="1BC2FEB2" w:rsidR="002B2F08" w:rsidRPr="008A58C7" w:rsidRDefault="002B2F08" w:rsidP="000C7A7D">
      <w:pPr>
        <w:pStyle w:val="Titolo2"/>
      </w:pPr>
      <w:bookmarkStart w:id="7" w:name="_Toc152582342"/>
      <w:r w:rsidRPr="008A58C7">
        <w:t xml:space="preserve">Focus Rendicontazione </w:t>
      </w:r>
      <w:r w:rsidR="00F16F7D">
        <w:t xml:space="preserve">delle spese </w:t>
      </w:r>
      <w:r w:rsidRPr="008A58C7">
        <w:t>attraverso REGIS</w:t>
      </w:r>
      <w:bookmarkEnd w:id="7"/>
    </w:p>
    <w:p w14:paraId="71263B7A" w14:textId="77777777" w:rsidR="002B2F08" w:rsidRPr="008A58C7" w:rsidRDefault="002B2F08" w:rsidP="00256E31">
      <w:pPr>
        <w:pBdr>
          <w:top w:val="single" w:sz="4" w:space="1" w:color="auto"/>
          <w:left w:val="single" w:sz="4" w:space="4" w:color="auto"/>
          <w:bottom w:val="single" w:sz="4" w:space="1" w:color="auto"/>
          <w:right w:val="single" w:sz="4" w:space="4" w:color="auto"/>
        </w:pBdr>
        <w:shd w:val="clear" w:color="auto" w:fill="D9E2F3" w:themeFill="accent1" w:themeFillTint="33"/>
        <w:autoSpaceDE w:val="0"/>
        <w:autoSpaceDN w:val="0"/>
        <w:adjustRightInd w:val="0"/>
        <w:spacing w:after="0" w:line="240" w:lineRule="auto"/>
        <w:rPr>
          <w:rFonts w:ascii="Times New Roman" w:hAnsi="Times New Roman" w:cs="Times New Roman"/>
          <w:b/>
          <w:bCs/>
          <w:i/>
          <w:iCs/>
          <w:sz w:val="18"/>
          <w:szCs w:val="18"/>
        </w:rPr>
      </w:pPr>
    </w:p>
    <w:p w14:paraId="62C49B7F" w14:textId="5A7E64EA" w:rsidR="002B2F08" w:rsidRPr="0017512A" w:rsidRDefault="002B2F08" w:rsidP="00256E31">
      <w:pPr>
        <w:pBdr>
          <w:top w:val="single" w:sz="4" w:space="1" w:color="auto"/>
          <w:left w:val="single" w:sz="4" w:space="4" w:color="auto"/>
          <w:bottom w:val="single" w:sz="4" w:space="1" w:color="auto"/>
          <w:right w:val="single" w:sz="4" w:space="4" w:color="auto"/>
        </w:pBdr>
        <w:shd w:val="clear" w:color="auto" w:fill="D9E2F3" w:themeFill="accent1" w:themeFillTint="33"/>
        <w:autoSpaceDE w:val="0"/>
        <w:autoSpaceDN w:val="0"/>
        <w:adjustRightInd w:val="0"/>
        <w:spacing w:after="0" w:line="240" w:lineRule="auto"/>
        <w:rPr>
          <w:rFonts w:ascii="Open Sans Light" w:hAnsi="Open Sans Light" w:cs="Open Sans Light"/>
          <w:i/>
          <w:iCs/>
        </w:rPr>
      </w:pPr>
      <w:r w:rsidRPr="0017512A">
        <w:rPr>
          <w:rFonts w:ascii="Open Sans Light" w:hAnsi="Open Sans Light" w:cs="Open Sans Light"/>
          <w:i/>
          <w:iCs/>
        </w:rPr>
        <w:t xml:space="preserve">Il rendiconto delle spese sostenute dal </w:t>
      </w:r>
      <w:r w:rsidR="00F83DDB">
        <w:rPr>
          <w:rFonts w:ascii="Open Sans Light" w:hAnsi="Open Sans Light" w:cs="Open Sans Light"/>
          <w:i/>
          <w:iCs/>
        </w:rPr>
        <w:t>Soggetto attuatore</w:t>
      </w:r>
      <w:r w:rsidRPr="0017512A">
        <w:rPr>
          <w:rFonts w:ascii="Open Sans Light" w:hAnsi="Open Sans Light" w:cs="Open Sans Light"/>
          <w:i/>
          <w:iCs/>
        </w:rPr>
        <w:t xml:space="preserve"> deve essere corredato dall’attestazione dell’avvenuto svolgimento di alcune verifiche, tra cui il rispetto del</w:t>
      </w:r>
      <w:r w:rsidR="008A58C7" w:rsidRPr="0017512A">
        <w:rPr>
          <w:rFonts w:ascii="Open Sans Light" w:hAnsi="Open Sans Light" w:cs="Open Sans Light"/>
          <w:i/>
          <w:iCs/>
        </w:rPr>
        <w:t xml:space="preserve"> Principio</w:t>
      </w:r>
      <w:r w:rsidRPr="0017512A">
        <w:rPr>
          <w:rFonts w:ascii="Open Sans Light" w:hAnsi="Open Sans Light" w:cs="Open Sans Light"/>
          <w:i/>
          <w:iCs/>
        </w:rPr>
        <w:t xml:space="preserve"> DNSH. La verifica del rispetto del</w:t>
      </w:r>
      <w:r w:rsidR="008C482E">
        <w:rPr>
          <w:rFonts w:ascii="Open Sans Light" w:hAnsi="Open Sans Light" w:cs="Open Sans Light"/>
          <w:i/>
          <w:iCs/>
        </w:rPr>
        <w:t xml:space="preserve"> </w:t>
      </w:r>
      <w:r w:rsidRPr="0017512A">
        <w:rPr>
          <w:rFonts w:ascii="Open Sans Light" w:hAnsi="Open Sans Light" w:cs="Open Sans Light"/>
          <w:i/>
          <w:iCs/>
        </w:rPr>
        <w:t xml:space="preserve">DNSH è elencata all’interno del sistema </w:t>
      </w:r>
      <w:proofErr w:type="spellStart"/>
      <w:r w:rsidRPr="0017512A">
        <w:rPr>
          <w:rFonts w:ascii="Open Sans Light" w:hAnsi="Open Sans Light" w:cs="Open Sans Light"/>
          <w:i/>
          <w:iCs/>
        </w:rPr>
        <w:t>ReGiS</w:t>
      </w:r>
      <w:proofErr w:type="spellEnd"/>
      <w:r w:rsidRPr="0017512A">
        <w:rPr>
          <w:rFonts w:ascii="Open Sans Light" w:hAnsi="Open Sans Light" w:cs="Open Sans Light"/>
          <w:i/>
          <w:iCs/>
        </w:rPr>
        <w:t xml:space="preserve"> nella </w:t>
      </w:r>
      <w:proofErr w:type="spellStart"/>
      <w:r w:rsidRPr="0017512A">
        <w:rPr>
          <w:rFonts w:ascii="Open Sans Light" w:hAnsi="Open Sans Light" w:cs="Open Sans Light"/>
          <w:i/>
          <w:iCs/>
        </w:rPr>
        <w:t>tile</w:t>
      </w:r>
      <w:proofErr w:type="spellEnd"/>
      <w:r w:rsidRPr="0017512A">
        <w:rPr>
          <w:rFonts w:ascii="Open Sans Light" w:hAnsi="Open Sans Light" w:cs="Open Sans Light"/>
          <w:i/>
          <w:iCs/>
        </w:rPr>
        <w:t xml:space="preserve"> “Rendicontazione Spese vs </w:t>
      </w:r>
      <w:proofErr w:type="spellStart"/>
      <w:r w:rsidRPr="0017512A">
        <w:rPr>
          <w:rFonts w:ascii="Open Sans Light" w:hAnsi="Open Sans Light" w:cs="Open Sans Light"/>
          <w:i/>
          <w:iCs/>
        </w:rPr>
        <w:t>ARdi</w:t>
      </w:r>
      <w:proofErr w:type="spellEnd"/>
      <w:r w:rsidRPr="0017512A">
        <w:rPr>
          <w:rFonts w:ascii="Open Sans Light" w:hAnsi="Open Sans Light" w:cs="Open Sans Light"/>
          <w:i/>
          <w:iCs/>
        </w:rPr>
        <w:t xml:space="preserve"> – Creazione”. </w:t>
      </w:r>
    </w:p>
    <w:p w14:paraId="2B8E51CC" w14:textId="5A18BFC7" w:rsidR="002B2F08" w:rsidRPr="0017512A" w:rsidRDefault="002B2F08" w:rsidP="00256E31">
      <w:pPr>
        <w:pBdr>
          <w:top w:val="single" w:sz="4" w:space="1" w:color="auto"/>
          <w:left w:val="single" w:sz="4" w:space="4" w:color="auto"/>
          <w:bottom w:val="single" w:sz="4" w:space="1" w:color="auto"/>
          <w:right w:val="single" w:sz="4" w:space="4" w:color="auto"/>
        </w:pBdr>
        <w:shd w:val="clear" w:color="auto" w:fill="D9E2F3" w:themeFill="accent1" w:themeFillTint="33"/>
        <w:autoSpaceDE w:val="0"/>
        <w:autoSpaceDN w:val="0"/>
        <w:adjustRightInd w:val="0"/>
        <w:spacing w:after="120" w:line="240" w:lineRule="auto"/>
        <w:rPr>
          <w:rFonts w:ascii="Open Sans Light" w:hAnsi="Open Sans Light" w:cs="Open Sans Light"/>
          <w:bCs/>
          <w:i/>
          <w:iCs/>
        </w:rPr>
      </w:pPr>
      <w:r w:rsidRPr="0017512A">
        <w:rPr>
          <w:rFonts w:ascii="Open Sans Light" w:hAnsi="Open Sans Light" w:cs="Open Sans Light"/>
          <w:i/>
          <w:iCs/>
        </w:rPr>
        <w:t xml:space="preserve">Oltre all’attestazione di aver effettuato la verifica del rispetto del principio, il </w:t>
      </w:r>
      <w:r w:rsidR="00F83DDB">
        <w:rPr>
          <w:rFonts w:ascii="Open Sans Light" w:hAnsi="Open Sans Light" w:cs="Open Sans Light"/>
          <w:i/>
          <w:iCs/>
        </w:rPr>
        <w:t>Soggetto attuatore</w:t>
      </w:r>
      <w:r w:rsidRPr="0017512A">
        <w:rPr>
          <w:rFonts w:ascii="Open Sans Light" w:hAnsi="Open Sans Light" w:cs="Open Sans Light"/>
          <w:i/>
          <w:iCs/>
        </w:rPr>
        <w:t xml:space="preserve"> è tenuto a caricare a sistema</w:t>
      </w:r>
      <w:r w:rsidR="008A58C7" w:rsidRPr="0017512A">
        <w:rPr>
          <w:rFonts w:ascii="Open Sans Light" w:hAnsi="Open Sans Light" w:cs="Open Sans Light"/>
          <w:i/>
          <w:iCs/>
        </w:rPr>
        <w:t xml:space="preserve"> le checklist</w:t>
      </w:r>
      <w:r w:rsidR="00F83DDB">
        <w:rPr>
          <w:rFonts w:ascii="Open Sans Light" w:hAnsi="Open Sans Light" w:cs="Open Sans Light"/>
          <w:i/>
          <w:iCs/>
        </w:rPr>
        <w:t xml:space="preserve"> (allegate alla Circolare MEF n.33/2022)</w:t>
      </w:r>
      <w:r w:rsidR="008A58C7" w:rsidRPr="0017512A">
        <w:rPr>
          <w:rFonts w:ascii="Open Sans Light" w:hAnsi="Open Sans Light" w:cs="Open Sans Light"/>
          <w:i/>
          <w:iCs/>
        </w:rPr>
        <w:t xml:space="preserve"> debitamente compilate in ogni sezione e secondo le modalità descritte dalla relativa </w:t>
      </w:r>
      <w:r w:rsidR="00F83DDB">
        <w:rPr>
          <w:rFonts w:ascii="Open Sans Light" w:hAnsi="Open Sans Light" w:cs="Open Sans Light"/>
          <w:i/>
          <w:iCs/>
        </w:rPr>
        <w:t>Guida</w:t>
      </w:r>
      <w:r w:rsidR="00F83DDB" w:rsidRPr="0017512A">
        <w:rPr>
          <w:rFonts w:ascii="Open Sans Light" w:hAnsi="Open Sans Light" w:cs="Open Sans Light"/>
          <w:i/>
          <w:iCs/>
        </w:rPr>
        <w:t xml:space="preserve"> </w:t>
      </w:r>
      <w:r w:rsidR="008A58C7" w:rsidRPr="0017512A">
        <w:rPr>
          <w:rFonts w:ascii="Open Sans Light" w:hAnsi="Open Sans Light" w:cs="Open Sans Light"/>
          <w:i/>
          <w:iCs/>
        </w:rPr>
        <w:t>MEF</w:t>
      </w:r>
      <w:r w:rsidRPr="0017512A">
        <w:rPr>
          <w:rFonts w:ascii="Open Sans Light" w:hAnsi="Open Sans Light" w:cs="Open Sans Light"/>
          <w:i/>
          <w:iCs/>
        </w:rPr>
        <w:t xml:space="preserve">. Le Check List sopra richiamate </w:t>
      </w:r>
      <w:r w:rsidR="008A58C7" w:rsidRPr="0017512A">
        <w:rPr>
          <w:rFonts w:ascii="Open Sans Light" w:hAnsi="Open Sans Light" w:cs="Open Sans Light"/>
          <w:i/>
          <w:iCs/>
        </w:rPr>
        <w:t>dovranno</w:t>
      </w:r>
      <w:r w:rsidRPr="0017512A">
        <w:rPr>
          <w:rFonts w:ascii="Open Sans Light" w:hAnsi="Open Sans Light" w:cs="Open Sans Light"/>
          <w:i/>
          <w:iCs/>
        </w:rPr>
        <w:t xml:space="preserve"> essere datate e firmate dal Responsabile unico del procedimento e/o da altro referente istituzionale individuato dal </w:t>
      </w:r>
      <w:r w:rsidR="00F83DDB">
        <w:rPr>
          <w:rFonts w:ascii="Open Sans Light" w:hAnsi="Open Sans Light" w:cs="Open Sans Light"/>
          <w:i/>
          <w:iCs/>
        </w:rPr>
        <w:t>Soggetto attuatore</w:t>
      </w:r>
      <w:r w:rsidRPr="0017512A">
        <w:rPr>
          <w:rFonts w:ascii="Open Sans Light" w:hAnsi="Open Sans Light" w:cs="Open Sans Light"/>
          <w:i/>
          <w:iCs/>
        </w:rPr>
        <w:t xml:space="preserve"> e caricate in un unico file zip.</w:t>
      </w:r>
      <w:r w:rsidR="008C482E">
        <w:rPr>
          <w:rFonts w:ascii="Open Sans Light" w:hAnsi="Open Sans Light" w:cs="Open Sans Light"/>
          <w:bCs/>
          <w:i/>
          <w:iCs/>
        </w:rPr>
        <w:t xml:space="preserve"> </w:t>
      </w:r>
      <w:r w:rsidRPr="0017512A">
        <w:rPr>
          <w:rFonts w:ascii="Open Sans Light" w:hAnsi="Open Sans Light" w:cs="Open Sans Light"/>
          <w:bCs/>
          <w:i/>
          <w:iCs/>
        </w:rPr>
        <w:t xml:space="preserve">Il </w:t>
      </w:r>
      <w:r w:rsidR="004120E7" w:rsidRPr="0017512A">
        <w:rPr>
          <w:rFonts w:ascii="Open Sans Light" w:hAnsi="Open Sans Light" w:cs="Open Sans Light"/>
          <w:bCs/>
          <w:i/>
          <w:iCs/>
        </w:rPr>
        <w:t>Soggetto attuatore</w:t>
      </w:r>
      <w:r w:rsidRPr="0017512A">
        <w:rPr>
          <w:rFonts w:ascii="Open Sans Light" w:hAnsi="Open Sans Light" w:cs="Open Sans Light"/>
          <w:bCs/>
          <w:i/>
          <w:iCs/>
        </w:rPr>
        <w:t xml:space="preserve"> dovrà</w:t>
      </w:r>
      <w:r w:rsidR="008A58C7" w:rsidRPr="0017512A">
        <w:rPr>
          <w:rFonts w:ascii="Open Sans Light" w:hAnsi="Open Sans Light" w:cs="Open Sans Light"/>
          <w:bCs/>
          <w:i/>
          <w:iCs/>
        </w:rPr>
        <w:t>,</w:t>
      </w:r>
      <w:r w:rsidRPr="0017512A">
        <w:rPr>
          <w:rFonts w:ascii="Open Sans Light" w:hAnsi="Open Sans Light" w:cs="Open Sans Light"/>
          <w:bCs/>
          <w:i/>
          <w:iCs/>
        </w:rPr>
        <w:t xml:space="preserve"> inoltre</w:t>
      </w:r>
      <w:r w:rsidR="008A58C7" w:rsidRPr="0017512A">
        <w:rPr>
          <w:rFonts w:ascii="Open Sans Light" w:hAnsi="Open Sans Light" w:cs="Open Sans Light"/>
          <w:bCs/>
          <w:i/>
          <w:iCs/>
        </w:rPr>
        <w:t>,</w:t>
      </w:r>
      <w:r w:rsidRPr="0017512A">
        <w:rPr>
          <w:rFonts w:ascii="Open Sans Light" w:hAnsi="Open Sans Light" w:cs="Open Sans Light"/>
          <w:bCs/>
          <w:i/>
          <w:iCs/>
        </w:rPr>
        <w:t xml:space="preserve"> conservare la documentazione probatoria delle verifiche effettuate nel proprio fascicolo di progetto rendendola disponibile </w:t>
      </w:r>
      <w:r w:rsidR="00124641">
        <w:rPr>
          <w:rFonts w:ascii="Open Sans Light" w:hAnsi="Open Sans Light" w:cs="Open Sans Light"/>
          <w:bCs/>
          <w:i/>
          <w:iCs/>
        </w:rPr>
        <w:t>su richiesta dell’Amministrazione Titolare o di altri organismi di controllo</w:t>
      </w:r>
      <w:r w:rsidR="00703ADB">
        <w:rPr>
          <w:rFonts w:ascii="Open Sans Light" w:hAnsi="Open Sans Light" w:cs="Open Sans Light"/>
          <w:bCs/>
          <w:i/>
          <w:iCs/>
        </w:rPr>
        <w:t>.</w:t>
      </w:r>
    </w:p>
    <w:p w14:paraId="0DE4BFDA" w14:textId="08D202CD" w:rsidR="002B2F08" w:rsidRPr="0017512A" w:rsidRDefault="002B2F08" w:rsidP="00256E31">
      <w:pPr>
        <w:pBdr>
          <w:top w:val="single" w:sz="4" w:space="1" w:color="auto"/>
          <w:left w:val="single" w:sz="4" w:space="4" w:color="auto"/>
          <w:bottom w:val="single" w:sz="4" w:space="1" w:color="auto"/>
          <w:right w:val="single" w:sz="4" w:space="4" w:color="auto"/>
        </w:pBdr>
        <w:shd w:val="clear" w:color="auto" w:fill="D9E2F3" w:themeFill="accent1" w:themeFillTint="33"/>
        <w:autoSpaceDE w:val="0"/>
        <w:autoSpaceDN w:val="0"/>
        <w:adjustRightInd w:val="0"/>
        <w:spacing w:after="0" w:line="240" w:lineRule="auto"/>
        <w:rPr>
          <w:rFonts w:ascii="Times New Roman" w:hAnsi="Times New Roman" w:cs="Times New Roman"/>
          <w:i/>
          <w:iCs/>
        </w:rPr>
      </w:pPr>
      <w:r w:rsidRPr="0017512A">
        <w:rPr>
          <w:rFonts w:ascii="Open Sans Light" w:hAnsi="Open Sans Light" w:cs="Open Sans Light"/>
          <w:i/>
          <w:iCs/>
        </w:rPr>
        <w:lastRenderedPageBreak/>
        <w:t xml:space="preserve">Il </w:t>
      </w:r>
      <w:r w:rsidR="004120E7" w:rsidRPr="0017512A">
        <w:rPr>
          <w:rFonts w:ascii="Open Sans Light" w:hAnsi="Open Sans Light" w:cs="Open Sans Light"/>
          <w:i/>
          <w:iCs/>
        </w:rPr>
        <w:t>Soggetto attuatore</w:t>
      </w:r>
      <w:r w:rsidRPr="0017512A">
        <w:rPr>
          <w:rFonts w:ascii="Open Sans Light" w:hAnsi="Open Sans Light" w:cs="Open Sans Light"/>
          <w:i/>
          <w:iCs/>
        </w:rPr>
        <w:t xml:space="preserve"> è chiamato a condurre le verifiche del rispetto del principio DNSH in due momenti distinti: ex-ante ed ex-post</w:t>
      </w:r>
      <w:r w:rsidR="008A58C7" w:rsidRPr="0017512A">
        <w:rPr>
          <w:rFonts w:ascii="Open Sans Light" w:hAnsi="Open Sans Light" w:cs="Open Sans Light"/>
          <w:i/>
          <w:iCs/>
        </w:rPr>
        <w:t xml:space="preserve">; </w:t>
      </w:r>
      <w:r w:rsidRPr="0017512A">
        <w:rPr>
          <w:rFonts w:ascii="Open Sans Light" w:hAnsi="Open Sans Light" w:cs="Open Sans Light"/>
          <w:i/>
          <w:iCs/>
        </w:rPr>
        <w:t>pertanto</w:t>
      </w:r>
      <w:r w:rsidR="008A58C7" w:rsidRPr="0017512A">
        <w:rPr>
          <w:rFonts w:ascii="Open Sans Light" w:hAnsi="Open Sans Light" w:cs="Open Sans Light"/>
          <w:i/>
          <w:iCs/>
        </w:rPr>
        <w:t>,</w:t>
      </w:r>
      <w:r w:rsidRPr="0017512A">
        <w:rPr>
          <w:rFonts w:ascii="Open Sans Light" w:hAnsi="Open Sans Light" w:cs="Open Sans Light"/>
          <w:i/>
          <w:iCs/>
        </w:rPr>
        <w:t xml:space="preserve"> le check list sono strutturate indicando le due diverse fasi. Le verifiche si sostanziano nella compilazione delle check list nelle corrispondenti sezioni, che dovranno essere prodotte unitamente alla dichiarazione relativa al rispetto del principio del DNSH.</w:t>
      </w:r>
    </w:p>
    <w:p w14:paraId="18B17EDE" w14:textId="4CF5D6A6" w:rsidR="002B2F08" w:rsidRDefault="002B2F08" w:rsidP="002B2F08">
      <w:pPr>
        <w:ind w:left="412" w:firstLine="0"/>
        <w:rPr>
          <w:rFonts w:ascii="Open Sans Light" w:hAnsi="Open Sans Light" w:cs="Open Sans Light"/>
        </w:rPr>
      </w:pPr>
    </w:p>
    <w:p w14:paraId="7A80B88F" w14:textId="3BD09DEA" w:rsidR="000C655F" w:rsidRPr="008A58C7" w:rsidRDefault="000C655F" w:rsidP="000C655F">
      <w:pPr>
        <w:pStyle w:val="Titolo2"/>
      </w:pPr>
      <w:bookmarkStart w:id="8" w:name="_Toc152582343"/>
      <w:r w:rsidRPr="008A58C7">
        <w:t>Focus Rendicontaz</w:t>
      </w:r>
      <w:r>
        <w:t xml:space="preserve">ione </w:t>
      </w:r>
      <w:r w:rsidR="0057394D">
        <w:t xml:space="preserve">delle procedure </w:t>
      </w:r>
      <w:r w:rsidR="00315EFE">
        <w:t xml:space="preserve">di affidamento </w:t>
      </w:r>
      <w:r w:rsidR="0057394D">
        <w:t>e attestazione di gara</w:t>
      </w:r>
      <w:r w:rsidR="00B569BC">
        <w:t xml:space="preserve"> attraverso Regis</w:t>
      </w:r>
      <w:bookmarkEnd w:id="8"/>
    </w:p>
    <w:p w14:paraId="4716F876" w14:textId="77777777" w:rsidR="00927F74" w:rsidRPr="00CB0D03" w:rsidRDefault="00927F74" w:rsidP="00D96BCE">
      <w:pPr>
        <w:pBdr>
          <w:top w:val="single" w:sz="4" w:space="1" w:color="auto"/>
          <w:left w:val="single" w:sz="4" w:space="4" w:color="auto"/>
          <w:bottom w:val="single" w:sz="4" w:space="1" w:color="auto"/>
          <w:right w:val="single" w:sz="4" w:space="4" w:color="auto"/>
        </w:pBdr>
        <w:shd w:val="clear" w:color="auto" w:fill="D9E2F3" w:themeFill="accent1" w:themeFillTint="33"/>
        <w:autoSpaceDE w:val="0"/>
        <w:autoSpaceDN w:val="0"/>
        <w:adjustRightInd w:val="0"/>
        <w:spacing w:after="0" w:line="240" w:lineRule="auto"/>
        <w:rPr>
          <w:rFonts w:ascii="Open Sans Light" w:hAnsi="Open Sans Light" w:cs="Open Sans Light"/>
          <w:i/>
          <w:iCs/>
        </w:rPr>
      </w:pPr>
      <w:r>
        <w:rPr>
          <w:rFonts w:ascii="Open Sans Light" w:hAnsi="Open Sans Light" w:cs="Open Sans Light"/>
          <w:i/>
          <w:iCs/>
        </w:rPr>
        <w:t xml:space="preserve">Come previsto dalle </w:t>
      </w:r>
      <w:r w:rsidRPr="00CB0D03">
        <w:rPr>
          <w:rFonts w:ascii="Open Sans Light" w:hAnsi="Open Sans Light" w:cs="Open Sans Light"/>
          <w:i/>
          <w:iCs/>
        </w:rPr>
        <w:t xml:space="preserve">linee guida di rendicontazione e controllo allegate alla circolare MEF-RGS n.30 dell’11 agosto 2022, il Soggetto attuatore, in esito a ciascuna procedura di gara espletata, è tenuto a rilasciare apposita attestazione inerente allo svolgimento e all’esito positivo di vari controlli ex ante, tra i quali rientra il rispetto del principio del DNSH. In corrispondenza dell’apposito punto di controllo dell’attestazione, infatti, il Soggetto attuatore dovrà allegare la documentazione a comprova dei controlli svolti ed in particolare Check-list e/o Verbali di controllo ed eventuale ulteriore documentazione ritenuta rilevante. </w:t>
      </w:r>
    </w:p>
    <w:p w14:paraId="68B5784B" w14:textId="47878D22" w:rsidR="00D96BCE" w:rsidRPr="0017512A" w:rsidRDefault="00927F74" w:rsidP="00C8148C">
      <w:pPr>
        <w:pBdr>
          <w:top w:val="single" w:sz="4" w:space="1" w:color="auto"/>
          <w:left w:val="single" w:sz="4" w:space="4" w:color="auto"/>
          <w:bottom w:val="single" w:sz="4" w:space="1" w:color="auto"/>
          <w:right w:val="single" w:sz="4" w:space="4" w:color="auto"/>
        </w:pBdr>
        <w:shd w:val="clear" w:color="auto" w:fill="D9E2F3" w:themeFill="accent1" w:themeFillTint="33"/>
        <w:autoSpaceDE w:val="0"/>
        <w:autoSpaceDN w:val="0"/>
        <w:adjustRightInd w:val="0"/>
        <w:spacing w:after="0" w:line="240" w:lineRule="auto"/>
        <w:rPr>
          <w:rFonts w:ascii="Times New Roman" w:hAnsi="Times New Roman" w:cs="Times New Roman"/>
          <w:i/>
          <w:iCs/>
        </w:rPr>
      </w:pPr>
      <w:r w:rsidRPr="00CB0D03">
        <w:rPr>
          <w:rFonts w:ascii="Open Sans Light" w:hAnsi="Open Sans Light" w:cs="Open Sans Light"/>
          <w:i/>
          <w:iCs/>
        </w:rPr>
        <w:t>Con specifico riferiment</w:t>
      </w:r>
      <w:r w:rsidR="00E0144E" w:rsidRPr="00CB0D03">
        <w:rPr>
          <w:rFonts w:ascii="Open Sans Light" w:hAnsi="Open Sans Light" w:cs="Open Sans Light"/>
          <w:i/>
          <w:iCs/>
        </w:rPr>
        <w:t>o</w:t>
      </w:r>
      <w:r w:rsidRPr="00CB0D03">
        <w:rPr>
          <w:rFonts w:ascii="Open Sans Light" w:hAnsi="Open Sans Light" w:cs="Open Sans Light"/>
          <w:i/>
          <w:iCs/>
        </w:rPr>
        <w:t xml:space="preserve"> </w:t>
      </w:r>
      <w:r w:rsidR="00E0144E" w:rsidRPr="00CB0D03">
        <w:rPr>
          <w:rFonts w:ascii="Open Sans Light" w:hAnsi="Open Sans Light" w:cs="Open Sans Light"/>
          <w:i/>
          <w:iCs/>
        </w:rPr>
        <w:t>alla</w:t>
      </w:r>
      <w:r w:rsidR="00725E70" w:rsidRPr="00CB0D03">
        <w:rPr>
          <w:rFonts w:ascii="Open Sans Light" w:hAnsi="Open Sans Light" w:cs="Open Sans Light"/>
          <w:i/>
          <w:iCs/>
        </w:rPr>
        <w:t xml:space="preserve"> procedura di affidamento </w:t>
      </w:r>
      <w:r w:rsidR="00A532B8" w:rsidRPr="00CB0D03">
        <w:rPr>
          <w:rFonts w:ascii="Open Sans Light" w:hAnsi="Open Sans Light" w:cs="Open Sans Light"/>
          <w:i/>
          <w:iCs/>
        </w:rPr>
        <w:t xml:space="preserve">dei </w:t>
      </w:r>
      <w:r w:rsidR="00B126CD" w:rsidRPr="00CB0D03">
        <w:rPr>
          <w:rFonts w:ascii="Open Sans Light" w:hAnsi="Open Sans Light" w:cs="Open Sans Light"/>
          <w:i/>
          <w:iCs/>
        </w:rPr>
        <w:t xml:space="preserve">lavori </w:t>
      </w:r>
      <w:r w:rsidR="00E0144E" w:rsidRPr="00CB0D03">
        <w:rPr>
          <w:rFonts w:ascii="Open Sans Light" w:hAnsi="Open Sans Light" w:cs="Open Sans Light"/>
          <w:i/>
          <w:iCs/>
        </w:rPr>
        <w:t>si richiamano le istruzioni operative per la rendicontazione e la verifica delle procedure di affidamento</w:t>
      </w:r>
      <w:r w:rsidR="00E0144E" w:rsidRPr="00D269F6">
        <w:rPr>
          <w:rFonts w:ascii="Open Sans Light" w:hAnsi="Open Sans Light" w:cs="Open Sans Light"/>
          <w:i/>
          <w:iCs/>
        </w:rPr>
        <w:t xml:space="preserve"> lavori e relativa integrazione, trasmesse, rispettivamente, con nota </w:t>
      </w:r>
      <w:proofErr w:type="spellStart"/>
      <w:r w:rsidR="00E0144E" w:rsidRPr="00D269F6">
        <w:rPr>
          <w:rFonts w:ascii="Open Sans Light" w:hAnsi="Open Sans Light" w:cs="Open Sans Light"/>
          <w:i/>
          <w:iCs/>
        </w:rPr>
        <w:t>UdM</w:t>
      </w:r>
      <w:proofErr w:type="spellEnd"/>
      <w:r w:rsidR="00E0144E" w:rsidRPr="00D269F6">
        <w:rPr>
          <w:rFonts w:ascii="Open Sans Light" w:hAnsi="Open Sans Light" w:cs="Open Sans Light"/>
          <w:i/>
          <w:iCs/>
        </w:rPr>
        <w:t xml:space="preserve"> prot. 1038.U del 2 ottobre 2023 e prot. 1142.U del 19 ottobre 2023</w:t>
      </w:r>
      <w:r w:rsidR="00E0144E">
        <w:rPr>
          <w:rFonts w:ascii="Open Sans Light" w:hAnsi="Open Sans Light" w:cs="Open Sans Light"/>
          <w:i/>
          <w:iCs/>
        </w:rPr>
        <w:t xml:space="preserve">. </w:t>
      </w:r>
      <w:r w:rsidR="0029252B">
        <w:rPr>
          <w:rFonts w:ascii="Open Sans Light" w:hAnsi="Open Sans Light" w:cs="Open Sans Light"/>
          <w:i/>
          <w:iCs/>
        </w:rPr>
        <w:t xml:space="preserve">Le </w:t>
      </w:r>
      <w:proofErr w:type="gramStart"/>
      <w:r w:rsidR="00A951D5">
        <w:rPr>
          <w:rFonts w:ascii="Open Sans Light" w:hAnsi="Open Sans Light" w:cs="Open Sans Light"/>
          <w:i/>
          <w:iCs/>
        </w:rPr>
        <w:t>predette</w:t>
      </w:r>
      <w:proofErr w:type="gramEnd"/>
      <w:r w:rsidR="00A951D5">
        <w:rPr>
          <w:rFonts w:ascii="Open Sans Light" w:hAnsi="Open Sans Light" w:cs="Open Sans Light"/>
          <w:i/>
          <w:iCs/>
        </w:rPr>
        <w:t xml:space="preserve"> istruzioni</w:t>
      </w:r>
      <w:r w:rsidR="00AD0306">
        <w:rPr>
          <w:rFonts w:ascii="Open Sans Light" w:hAnsi="Open Sans Light" w:cs="Open Sans Light"/>
          <w:i/>
          <w:iCs/>
        </w:rPr>
        <w:t xml:space="preserve"> prevedono </w:t>
      </w:r>
      <w:r w:rsidR="006A6984">
        <w:rPr>
          <w:rFonts w:ascii="Open Sans Light" w:hAnsi="Open Sans Light" w:cs="Open Sans Light"/>
          <w:i/>
          <w:iCs/>
        </w:rPr>
        <w:t>che</w:t>
      </w:r>
      <w:r w:rsidR="00846B34">
        <w:rPr>
          <w:rFonts w:ascii="Open Sans Light" w:hAnsi="Open Sans Light" w:cs="Open Sans Light"/>
          <w:i/>
          <w:iCs/>
        </w:rPr>
        <w:t>, il Soggetto Attuatore,</w:t>
      </w:r>
      <w:r w:rsidR="006A6984">
        <w:rPr>
          <w:rFonts w:ascii="Open Sans Light" w:hAnsi="Open Sans Light" w:cs="Open Sans Light"/>
          <w:i/>
          <w:iCs/>
        </w:rPr>
        <w:t xml:space="preserve"> oltre al caricamento della Check List di autocontrollo in corrispondenza dell’Attestazione </w:t>
      </w:r>
      <w:r w:rsidR="00B63A54">
        <w:rPr>
          <w:rFonts w:ascii="Open Sans Light" w:hAnsi="Open Sans Light" w:cs="Open Sans Light"/>
          <w:i/>
          <w:iCs/>
        </w:rPr>
        <w:t xml:space="preserve">delle verifiche </w:t>
      </w:r>
      <w:r w:rsidR="006900F5">
        <w:rPr>
          <w:rFonts w:ascii="Open Sans Light" w:hAnsi="Open Sans Light" w:cs="Open Sans Light"/>
          <w:i/>
          <w:iCs/>
        </w:rPr>
        <w:t>effettuate sulla procedura</w:t>
      </w:r>
      <w:r w:rsidR="00A951D5">
        <w:rPr>
          <w:rFonts w:ascii="Open Sans Light" w:hAnsi="Open Sans Light" w:cs="Open Sans Light"/>
          <w:i/>
          <w:iCs/>
        </w:rPr>
        <w:t xml:space="preserve"> </w:t>
      </w:r>
      <w:r w:rsidR="003E5D89">
        <w:rPr>
          <w:rFonts w:ascii="Open Sans Light" w:hAnsi="Open Sans Light" w:cs="Open Sans Light"/>
          <w:i/>
          <w:iCs/>
        </w:rPr>
        <w:t xml:space="preserve">di </w:t>
      </w:r>
      <w:r w:rsidR="006900F5">
        <w:rPr>
          <w:rFonts w:ascii="Open Sans Light" w:hAnsi="Open Sans Light" w:cs="Open Sans Light"/>
          <w:i/>
          <w:iCs/>
        </w:rPr>
        <w:t xml:space="preserve">gara, renda disponibile tutta la documentazione comprovante il rispetto del DNSH </w:t>
      </w:r>
      <w:r w:rsidR="00D96BCE" w:rsidRPr="0017512A">
        <w:rPr>
          <w:rFonts w:ascii="Open Sans Light" w:hAnsi="Open Sans Light" w:cs="Open Sans Light"/>
          <w:i/>
          <w:iCs/>
        </w:rPr>
        <w:t xml:space="preserve">nella </w:t>
      </w:r>
      <w:proofErr w:type="spellStart"/>
      <w:r w:rsidR="00D96BCE" w:rsidRPr="0017512A">
        <w:rPr>
          <w:rFonts w:ascii="Open Sans Light" w:hAnsi="Open Sans Light" w:cs="Open Sans Light"/>
          <w:i/>
          <w:iCs/>
        </w:rPr>
        <w:t>tile</w:t>
      </w:r>
      <w:proofErr w:type="spellEnd"/>
      <w:r w:rsidR="00D96BCE" w:rsidRPr="0017512A">
        <w:rPr>
          <w:rFonts w:ascii="Open Sans Light" w:hAnsi="Open Sans Light" w:cs="Open Sans Light"/>
          <w:i/>
          <w:iCs/>
        </w:rPr>
        <w:t xml:space="preserve"> “</w:t>
      </w:r>
      <w:r w:rsidR="00F9099A">
        <w:rPr>
          <w:rFonts w:ascii="Open Sans Light" w:hAnsi="Open Sans Light" w:cs="Open Sans Light"/>
          <w:i/>
          <w:iCs/>
        </w:rPr>
        <w:t>procedur</w:t>
      </w:r>
      <w:r w:rsidR="00F705D3">
        <w:rPr>
          <w:rFonts w:ascii="Open Sans Light" w:hAnsi="Open Sans Light" w:cs="Open Sans Light"/>
          <w:i/>
          <w:iCs/>
        </w:rPr>
        <w:t>e</w:t>
      </w:r>
      <w:r w:rsidR="00F9099A">
        <w:rPr>
          <w:rFonts w:ascii="Open Sans Light" w:hAnsi="Open Sans Light" w:cs="Open Sans Light"/>
          <w:i/>
          <w:iCs/>
        </w:rPr>
        <w:t xml:space="preserve"> di </w:t>
      </w:r>
      <w:r w:rsidR="00F705D3">
        <w:rPr>
          <w:rFonts w:ascii="Open Sans Light" w:hAnsi="Open Sans Light" w:cs="Open Sans Light"/>
          <w:i/>
          <w:iCs/>
        </w:rPr>
        <w:t>aggiudicazione</w:t>
      </w:r>
      <w:r w:rsidR="00D96BCE" w:rsidRPr="0017512A">
        <w:rPr>
          <w:rFonts w:ascii="Open Sans Light" w:hAnsi="Open Sans Light" w:cs="Open Sans Light"/>
          <w:i/>
          <w:iCs/>
        </w:rPr>
        <w:t>”</w:t>
      </w:r>
      <w:r w:rsidR="001D5820">
        <w:rPr>
          <w:rFonts w:ascii="Open Sans Light" w:hAnsi="Open Sans Light" w:cs="Open Sans Light"/>
          <w:i/>
          <w:iCs/>
        </w:rPr>
        <w:t xml:space="preserve"> </w:t>
      </w:r>
      <w:r w:rsidR="009658A6">
        <w:rPr>
          <w:rFonts w:ascii="Open Sans Light" w:hAnsi="Open Sans Light" w:cs="Open Sans Light"/>
          <w:i/>
          <w:iCs/>
        </w:rPr>
        <w:t>– “anagrafica progetto”</w:t>
      </w:r>
      <w:r w:rsidR="00212C81">
        <w:rPr>
          <w:rFonts w:ascii="Open Sans Light" w:hAnsi="Open Sans Light" w:cs="Open Sans Light"/>
          <w:i/>
          <w:iCs/>
        </w:rPr>
        <w:t xml:space="preserve"> </w:t>
      </w:r>
      <w:r w:rsidR="006900F5">
        <w:rPr>
          <w:rFonts w:ascii="Open Sans Light" w:hAnsi="Open Sans Light" w:cs="Open Sans Light"/>
          <w:i/>
          <w:iCs/>
        </w:rPr>
        <w:t xml:space="preserve">del sistema informativo </w:t>
      </w:r>
      <w:proofErr w:type="spellStart"/>
      <w:r w:rsidR="006900F5">
        <w:rPr>
          <w:rFonts w:ascii="Open Sans Light" w:hAnsi="Open Sans Light" w:cs="Open Sans Light"/>
          <w:i/>
          <w:iCs/>
        </w:rPr>
        <w:t>ReGiS</w:t>
      </w:r>
      <w:proofErr w:type="spellEnd"/>
    </w:p>
    <w:p w14:paraId="373540AF" w14:textId="77777777" w:rsidR="000C655F" w:rsidRPr="008A58C7" w:rsidRDefault="000C655F" w:rsidP="000C655F">
      <w:pPr>
        <w:pBdr>
          <w:top w:val="single" w:sz="4" w:space="1" w:color="auto"/>
          <w:left w:val="single" w:sz="4" w:space="4" w:color="auto"/>
          <w:bottom w:val="single" w:sz="4" w:space="1" w:color="auto"/>
          <w:right w:val="single" w:sz="4" w:space="4" w:color="auto"/>
        </w:pBdr>
        <w:shd w:val="clear" w:color="auto" w:fill="D9E2F3" w:themeFill="accent1" w:themeFillTint="33"/>
        <w:autoSpaceDE w:val="0"/>
        <w:autoSpaceDN w:val="0"/>
        <w:adjustRightInd w:val="0"/>
        <w:spacing w:after="0" w:line="240" w:lineRule="auto"/>
        <w:rPr>
          <w:rFonts w:ascii="Times New Roman" w:hAnsi="Times New Roman" w:cs="Times New Roman"/>
          <w:b/>
          <w:bCs/>
          <w:i/>
          <w:iCs/>
          <w:sz w:val="18"/>
          <w:szCs w:val="18"/>
        </w:rPr>
      </w:pPr>
    </w:p>
    <w:p w14:paraId="62A8CDF0" w14:textId="77777777" w:rsidR="000C655F" w:rsidRDefault="000C655F" w:rsidP="00E404C2">
      <w:pPr>
        <w:ind w:left="0" w:firstLine="0"/>
        <w:rPr>
          <w:rFonts w:ascii="Open Sans Light" w:hAnsi="Open Sans Light" w:cs="Open Sans Light"/>
        </w:rPr>
      </w:pPr>
    </w:p>
    <w:p w14:paraId="75DF7F8C" w14:textId="49AF9D58" w:rsidR="00C244C1" w:rsidRPr="00F6059B" w:rsidRDefault="00D61793" w:rsidP="00AD22BF">
      <w:pPr>
        <w:pStyle w:val="Titolo1"/>
        <w:numPr>
          <w:ilvl w:val="0"/>
          <w:numId w:val="8"/>
        </w:numPr>
        <w:rPr>
          <w:rFonts w:asciiTheme="minorHAnsi" w:hAnsiTheme="minorHAnsi" w:cstheme="minorHAnsi"/>
          <w:b/>
          <w:u w:val="none"/>
        </w:rPr>
      </w:pPr>
      <w:bookmarkStart w:id="9" w:name="_Toc123827075"/>
      <w:bookmarkStart w:id="10" w:name="_Toc123827076"/>
      <w:bookmarkStart w:id="11" w:name="_Toc123827077"/>
      <w:bookmarkStart w:id="12" w:name="_Toc123827078"/>
      <w:bookmarkStart w:id="13" w:name="_Toc123827079"/>
      <w:bookmarkStart w:id="14" w:name="_Toc123827080"/>
      <w:bookmarkStart w:id="15" w:name="_Toc123827081"/>
      <w:bookmarkStart w:id="16" w:name="_Toc123827082"/>
      <w:bookmarkStart w:id="17" w:name="_Toc123827083"/>
      <w:bookmarkStart w:id="18" w:name="_Toc123827084"/>
      <w:bookmarkStart w:id="19" w:name="_Toc123827085"/>
      <w:bookmarkStart w:id="20" w:name="_Toc123827086"/>
      <w:bookmarkStart w:id="21" w:name="_Toc123827087"/>
      <w:bookmarkStart w:id="22" w:name="_Toc123827088"/>
      <w:bookmarkStart w:id="23" w:name="_Toc123827092"/>
      <w:bookmarkStart w:id="24" w:name="_Toc123827093"/>
      <w:bookmarkStart w:id="25" w:name="_Toc123827094"/>
      <w:bookmarkStart w:id="26" w:name="_Toc123827095"/>
      <w:bookmarkStart w:id="27" w:name="_Toc123827096"/>
      <w:bookmarkStart w:id="28" w:name="_Toc123827097"/>
      <w:bookmarkStart w:id="29" w:name="_Toc152582344"/>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Pr>
          <w:rFonts w:asciiTheme="minorHAnsi" w:hAnsiTheme="minorHAnsi" w:cstheme="minorHAnsi"/>
          <w:b/>
          <w:u w:val="none"/>
        </w:rPr>
        <w:t xml:space="preserve">Missione </w:t>
      </w:r>
      <w:r w:rsidR="00877AD5">
        <w:rPr>
          <w:rFonts w:asciiTheme="minorHAnsi" w:hAnsiTheme="minorHAnsi" w:cstheme="minorHAnsi"/>
          <w:b/>
          <w:u w:val="none"/>
        </w:rPr>
        <w:t>2</w:t>
      </w:r>
      <w:r>
        <w:rPr>
          <w:rFonts w:asciiTheme="minorHAnsi" w:hAnsiTheme="minorHAnsi" w:cstheme="minorHAnsi"/>
          <w:b/>
          <w:u w:val="none"/>
        </w:rPr>
        <w:t xml:space="preserve"> </w:t>
      </w:r>
      <w:bookmarkStart w:id="30" w:name="_Hlk145945562"/>
      <w:r w:rsidR="003D168C">
        <w:rPr>
          <w:rFonts w:asciiTheme="minorHAnsi" w:hAnsiTheme="minorHAnsi" w:cstheme="minorHAnsi"/>
          <w:b/>
          <w:u w:val="none"/>
        </w:rPr>
        <w:t>–</w:t>
      </w:r>
      <w:r>
        <w:rPr>
          <w:rFonts w:asciiTheme="minorHAnsi" w:hAnsiTheme="minorHAnsi" w:cstheme="minorHAnsi"/>
          <w:b/>
          <w:u w:val="none"/>
        </w:rPr>
        <w:t xml:space="preserve"> </w:t>
      </w:r>
      <w:r w:rsidR="003D168C">
        <w:rPr>
          <w:rFonts w:asciiTheme="minorHAnsi" w:hAnsiTheme="minorHAnsi" w:cstheme="minorHAnsi"/>
          <w:b/>
          <w:u w:val="none"/>
        </w:rPr>
        <w:t>Efficienza energetica e riqualificazione degli edifici</w:t>
      </w:r>
      <w:r w:rsidR="008F66D0" w:rsidRPr="00F6059B">
        <w:rPr>
          <w:rFonts w:asciiTheme="minorHAnsi" w:hAnsiTheme="minorHAnsi" w:cstheme="minorHAnsi"/>
          <w:b/>
          <w:u w:val="none"/>
        </w:rPr>
        <w:t xml:space="preserve"> </w:t>
      </w:r>
      <w:bookmarkEnd w:id="30"/>
      <w:r w:rsidR="008F66D0" w:rsidRPr="00F6059B">
        <w:rPr>
          <w:rFonts w:asciiTheme="minorHAnsi" w:hAnsiTheme="minorHAnsi" w:cstheme="minorHAnsi"/>
          <w:b/>
          <w:u w:val="none"/>
        </w:rPr>
        <w:t xml:space="preserve">- </w:t>
      </w:r>
      <w:r w:rsidR="0051144E" w:rsidRPr="00F6059B">
        <w:rPr>
          <w:rFonts w:asciiTheme="minorHAnsi" w:hAnsiTheme="minorHAnsi" w:cstheme="minorHAnsi"/>
          <w:b/>
          <w:u w:val="none"/>
        </w:rPr>
        <w:t>Indicazioni</w:t>
      </w:r>
      <w:r w:rsidR="00F03BEC" w:rsidRPr="00F6059B">
        <w:rPr>
          <w:rFonts w:asciiTheme="minorHAnsi" w:hAnsiTheme="minorHAnsi" w:cstheme="minorHAnsi"/>
          <w:b/>
          <w:u w:val="none"/>
        </w:rPr>
        <w:t xml:space="preserve"> per una corretta applicazione del Principio DNSH</w:t>
      </w:r>
      <w:bookmarkEnd w:id="29"/>
      <w:r w:rsidR="000D51B8" w:rsidRPr="00F6059B">
        <w:rPr>
          <w:rFonts w:asciiTheme="minorHAnsi" w:hAnsiTheme="minorHAnsi" w:cstheme="minorHAnsi"/>
          <w:b/>
          <w:u w:val="none"/>
        </w:rPr>
        <w:t xml:space="preserve"> </w:t>
      </w:r>
    </w:p>
    <w:p w14:paraId="0E0CC319" w14:textId="25C87B0C" w:rsidR="00EA155A" w:rsidRDefault="005056CD" w:rsidP="0050687D">
      <w:pPr>
        <w:spacing w:line="259" w:lineRule="auto"/>
        <w:ind w:left="465" w:right="454" w:hanging="11"/>
        <w:rPr>
          <w:rFonts w:ascii="Open Sans Light" w:hAnsi="Open Sans Light" w:cs="Open Sans Light"/>
        </w:rPr>
      </w:pPr>
      <w:r>
        <w:rPr>
          <w:rFonts w:ascii="Open Sans Light" w:hAnsi="Open Sans Light" w:cs="Open Sans Light"/>
        </w:rPr>
        <w:t xml:space="preserve">A completamento di quanto precedentemente descritto, il paragrafo che segue si concentrerà sull’applicazione del Principio DNSH </w:t>
      </w:r>
      <w:r w:rsidR="00A12311">
        <w:rPr>
          <w:rFonts w:ascii="Open Sans Light" w:hAnsi="Open Sans Light" w:cs="Open Sans Light"/>
        </w:rPr>
        <w:t xml:space="preserve">per </w:t>
      </w:r>
      <w:r w:rsidR="00934C6F">
        <w:rPr>
          <w:rFonts w:ascii="Open Sans Light" w:hAnsi="Open Sans Light" w:cs="Open Sans Light"/>
        </w:rPr>
        <w:t>la M</w:t>
      </w:r>
      <w:r w:rsidR="00345DC0">
        <w:rPr>
          <w:rFonts w:ascii="Open Sans Light" w:hAnsi="Open Sans Light" w:cs="Open Sans Light"/>
        </w:rPr>
        <w:t>2C3</w:t>
      </w:r>
      <w:r w:rsidR="00A12311">
        <w:rPr>
          <w:rFonts w:ascii="Open Sans Light" w:hAnsi="Open Sans Light" w:cs="Open Sans Light"/>
        </w:rPr>
        <w:t xml:space="preserve"> </w:t>
      </w:r>
      <w:r w:rsidR="003D168C" w:rsidRPr="003D168C">
        <w:rPr>
          <w:rFonts w:ascii="Open Sans Light" w:hAnsi="Open Sans Light" w:cs="Open Sans Light"/>
        </w:rPr>
        <w:t>– Efficienza energetica e riqualificazione degli edifici</w:t>
      </w:r>
      <w:r w:rsidR="003D168C">
        <w:rPr>
          <w:rFonts w:ascii="Open Sans Light" w:hAnsi="Open Sans Light" w:cs="Open Sans Light"/>
        </w:rPr>
        <w:t xml:space="preserve"> - </w:t>
      </w:r>
      <w:r w:rsidR="00934C6F">
        <w:rPr>
          <w:rFonts w:ascii="Open Sans Light" w:hAnsi="Open Sans Light" w:cs="Open Sans Light"/>
        </w:rPr>
        <w:t>per quanto concerne</w:t>
      </w:r>
      <w:r w:rsidR="003D168C">
        <w:rPr>
          <w:rFonts w:ascii="Open Sans Light" w:hAnsi="Open Sans Light" w:cs="Open Sans Light"/>
        </w:rPr>
        <w:t xml:space="preserve"> l’</w:t>
      </w:r>
      <w:r w:rsidR="00934C6F">
        <w:rPr>
          <w:rFonts w:ascii="Open Sans Light" w:hAnsi="Open Sans Light" w:cs="Open Sans Light"/>
        </w:rPr>
        <w:t>investiment</w:t>
      </w:r>
      <w:r w:rsidR="003D168C">
        <w:rPr>
          <w:rFonts w:ascii="Open Sans Light" w:hAnsi="Open Sans Light" w:cs="Open Sans Light"/>
        </w:rPr>
        <w:t>o</w:t>
      </w:r>
      <w:r w:rsidR="00934C6F">
        <w:rPr>
          <w:rFonts w:ascii="Open Sans Light" w:hAnsi="Open Sans Light" w:cs="Open Sans Light"/>
        </w:rPr>
        <w:t xml:space="preserve"> e le riforme in capo al Ministero del</w:t>
      </w:r>
      <w:r w:rsidR="003D168C">
        <w:rPr>
          <w:rFonts w:ascii="Open Sans Light" w:hAnsi="Open Sans Light" w:cs="Open Sans Light"/>
        </w:rPr>
        <w:t>la Giustizia.</w:t>
      </w:r>
    </w:p>
    <w:p w14:paraId="776DA430" w14:textId="1188FD2D" w:rsidR="006C0772" w:rsidRDefault="00C244C1" w:rsidP="0050687D">
      <w:pPr>
        <w:spacing w:line="259" w:lineRule="auto"/>
        <w:ind w:left="465" w:right="454" w:hanging="11"/>
      </w:pPr>
      <w:r w:rsidRPr="00256E31">
        <w:rPr>
          <w:rFonts w:ascii="Open Sans Light" w:hAnsi="Open Sans Light" w:cs="Open Sans Light"/>
        </w:rPr>
        <w:t xml:space="preserve">Partendo dall’analisi </w:t>
      </w:r>
      <w:r w:rsidR="00A12311">
        <w:rPr>
          <w:rFonts w:ascii="Open Sans Light" w:hAnsi="Open Sans Light" w:cs="Open Sans Light"/>
        </w:rPr>
        <w:t>degli investimenti</w:t>
      </w:r>
      <w:r w:rsidR="00A672E4" w:rsidRPr="00256E31">
        <w:rPr>
          <w:rFonts w:ascii="Open Sans Light" w:hAnsi="Open Sans Light" w:cs="Open Sans Light"/>
        </w:rPr>
        <w:t xml:space="preserve"> PNRR </w:t>
      </w:r>
      <w:r w:rsidR="00A12311">
        <w:rPr>
          <w:rFonts w:ascii="Open Sans Light" w:hAnsi="Open Sans Light" w:cs="Open Sans Light"/>
        </w:rPr>
        <w:t xml:space="preserve">di cui è responsabile il </w:t>
      </w:r>
      <w:r w:rsidR="00D61793">
        <w:rPr>
          <w:rFonts w:ascii="Open Sans Light" w:hAnsi="Open Sans Light" w:cs="Open Sans Light"/>
        </w:rPr>
        <w:t>Ministero d</w:t>
      </w:r>
      <w:r w:rsidR="001A7929">
        <w:rPr>
          <w:rFonts w:ascii="Open Sans Light" w:hAnsi="Open Sans Light" w:cs="Open Sans Light"/>
        </w:rPr>
        <w:t>ella Giustizia</w:t>
      </w:r>
      <w:r w:rsidR="00605C66">
        <w:rPr>
          <w:rFonts w:ascii="Open Sans Light" w:hAnsi="Open Sans Light" w:cs="Open Sans Light"/>
        </w:rPr>
        <w:t xml:space="preserve">, </w:t>
      </w:r>
      <w:r w:rsidR="00A672E4">
        <w:rPr>
          <w:rFonts w:ascii="Open Sans Light" w:hAnsi="Open Sans Light" w:cs="Open Sans Light"/>
        </w:rPr>
        <w:t>c</w:t>
      </w:r>
      <w:r w:rsidRPr="00256E31">
        <w:rPr>
          <w:rFonts w:ascii="Open Sans Light" w:hAnsi="Open Sans Light" w:cs="Open Sans Light"/>
        </w:rPr>
        <w:t>on particolare riferimento alle relative spese ammissibili che hanno implicazioni in termini di DNSH</w:t>
      </w:r>
      <w:r w:rsidR="00FC30BC">
        <w:rPr>
          <w:rStyle w:val="Rimandonotaapidipagina"/>
          <w:rFonts w:ascii="Open Sans Light" w:hAnsi="Open Sans Light" w:cs="Open Sans Light"/>
        </w:rPr>
        <w:footnoteReference w:id="11"/>
      </w:r>
      <w:r w:rsidRPr="00256E31">
        <w:rPr>
          <w:rFonts w:ascii="Open Sans Light" w:hAnsi="Open Sans Light" w:cs="Open Sans Light"/>
        </w:rPr>
        <w:t xml:space="preserve">, il </w:t>
      </w:r>
      <w:r w:rsidR="004120E7">
        <w:rPr>
          <w:rFonts w:ascii="Open Sans Light" w:hAnsi="Open Sans Light" w:cs="Open Sans Light"/>
        </w:rPr>
        <w:t>Soggetto attuatore</w:t>
      </w:r>
      <w:r w:rsidRPr="00256E31">
        <w:rPr>
          <w:rFonts w:ascii="Open Sans Light" w:hAnsi="Open Sans Light" w:cs="Open Sans Light"/>
        </w:rPr>
        <w:t xml:space="preserve"> </w:t>
      </w:r>
      <w:r w:rsidR="006C0772" w:rsidRPr="006C0772">
        <w:rPr>
          <w:rFonts w:ascii="Open Sans Light" w:hAnsi="Open Sans Light" w:cs="Open Sans Light"/>
        </w:rPr>
        <w:t>procede a rispettare le indicazioni contenute nella “</w:t>
      </w:r>
      <w:r w:rsidR="006C0772" w:rsidRPr="00934C6F">
        <w:rPr>
          <w:rFonts w:ascii="Open Sans Light" w:hAnsi="Open Sans Light" w:cs="Open Sans Light"/>
          <w:i/>
          <w:iCs/>
        </w:rPr>
        <w:t>Guida operativa per il rispetto del principio del DNSH</w:t>
      </w:r>
      <w:r w:rsidR="006C0772" w:rsidRPr="006C0772">
        <w:rPr>
          <w:rFonts w:ascii="Open Sans Light" w:hAnsi="Open Sans Light" w:cs="Open Sans Light"/>
        </w:rPr>
        <w:t>”, emanata dal Ministero dell’</w:t>
      </w:r>
      <w:r w:rsidR="00605C66">
        <w:rPr>
          <w:rFonts w:ascii="Open Sans Light" w:hAnsi="Open Sans Light" w:cs="Open Sans Light"/>
        </w:rPr>
        <w:t>E</w:t>
      </w:r>
      <w:r w:rsidR="006C0772" w:rsidRPr="006C0772">
        <w:rPr>
          <w:rFonts w:ascii="Open Sans Light" w:hAnsi="Open Sans Light" w:cs="Open Sans Light"/>
        </w:rPr>
        <w:t xml:space="preserve">conomia e delle </w:t>
      </w:r>
      <w:r w:rsidR="00605C66">
        <w:rPr>
          <w:rFonts w:ascii="Open Sans Light" w:hAnsi="Open Sans Light" w:cs="Open Sans Light"/>
        </w:rPr>
        <w:t>F</w:t>
      </w:r>
      <w:r w:rsidR="006C0772" w:rsidRPr="006C0772">
        <w:rPr>
          <w:rFonts w:ascii="Open Sans Light" w:hAnsi="Open Sans Light" w:cs="Open Sans Light"/>
        </w:rPr>
        <w:t>inanze con circolare n. 32 del 30 dicembre 2021, nonché delle “</w:t>
      </w:r>
      <w:r w:rsidR="006C0772" w:rsidRPr="00934C6F">
        <w:rPr>
          <w:rFonts w:ascii="Open Sans Light" w:hAnsi="Open Sans Light" w:cs="Open Sans Light"/>
          <w:i/>
          <w:iCs/>
        </w:rPr>
        <w:t>Schede di autovalutazione</w:t>
      </w:r>
      <w:r w:rsidR="006C0772" w:rsidRPr="006C0772">
        <w:rPr>
          <w:rFonts w:ascii="Open Sans Light" w:hAnsi="Open Sans Light" w:cs="Open Sans Light"/>
        </w:rPr>
        <w:t>” predisposte dal Ministero in fase di autovalutazione come sopra descritto</w:t>
      </w:r>
      <w:r w:rsidR="006C0772" w:rsidRPr="0050687D">
        <w:rPr>
          <w:rFonts w:ascii="Open Sans Light" w:hAnsi="Open Sans Light" w:cs="Open Sans Light"/>
        </w:rPr>
        <w:t>.</w:t>
      </w:r>
    </w:p>
    <w:p w14:paraId="6C060BBE" w14:textId="0885E769" w:rsidR="00637F72" w:rsidRDefault="00C244C1" w:rsidP="00637F72">
      <w:pPr>
        <w:spacing w:line="259" w:lineRule="auto"/>
        <w:ind w:left="465" w:right="454" w:hanging="11"/>
        <w:rPr>
          <w:rFonts w:ascii="Open Sans Light" w:hAnsi="Open Sans Light" w:cs="Open Sans Light"/>
        </w:rPr>
      </w:pPr>
      <w:r w:rsidRPr="00256E31">
        <w:rPr>
          <w:rFonts w:ascii="Open Sans Light" w:hAnsi="Open Sans Light" w:cs="Open Sans Light"/>
        </w:rPr>
        <w:t xml:space="preserve">Nel prospetto che segue, sono riportate le correlazioni tra </w:t>
      </w:r>
      <w:r w:rsidR="00BA3E2E">
        <w:rPr>
          <w:rFonts w:ascii="Open Sans Light" w:hAnsi="Open Sans Light" w:cs="Open Sans Light"/>
        </w:rPr>
        <w:t xml:space="preserve">gli </w:t>
      </w:r>
      <w:r w:rsidRPr="00256E31">
        <w:rPr>
          <w:rFonts w:ascii="Open Sans Light" w:hAnsi="Open Sans Light" w:cs="Open Sans Light"/>
        </w:rPr>
        <w:t>investiment</w:t>
      </w:r>
      <w:r w:rsidR="00BA3E2E">
        <w:rPr>
          <w:rFonts w:ascii="Open Sans Light" w:hAnsi="Open Sans Light" w:cs="Open Sans Light"/>
        </w:rPr>
        <w:t>i</w:t>
      </w:r>
      <w:r w:rsidRPr="00256E31">
        <w:rPr>
          <w:rFonts w:ascii="Open Sans Light" w:hAnsi="Open Sans Light" w:cs="Open Sans Light"/>
        </w:rPr>
        <w:t xml:space="preserve"> PNRR </w:t>
      </w:r>
      <w:r w:rsidR="00BA3E2E" w:rsidRPr="00256E31">
        <w:rPr>
          <w:rFonts w:ascii="Open Sans Light" w:hAnsi="Open Sans Light" w:cs="Open Sans Light"/>
        </w:rPr>
        <w:t>assegnat</w:t>
      </w:r>
      <w:r w:rsidR="00BA3E2E">
        <w:rPr>
          <w:rFonts w:ascii="Open Sans Light" w:hAnsi="Open Sans Light" w:cs="Open Sans Light"/>
        </w:rPr>
        <w:t>i</w:t>
      </w:r>
      <w:r w:rsidR="00BA3E2E" w:rsidRPr="00256E31">
        <w:rPr>
          <w:rFonts w:ascii="Open Sans Light" w:hAnsi="Open Sans Light" w:cs="Open Sans Light"/>
        </w:rPr>
        <w:t xml:space="preserve"> </w:t>
      </w:r>
      <w:r w:rsidRPr="00256E31">
        <w:rPr>
          <w:rFonts w:ascii="Open Sans Light" w:hAnsi="Open Sans Light" w:cs="Open Sans Light"/>
        </w:rPr>
        <w:t xml:space="preserve">al </w:t>
      </w:r>
      <w:r w:rsidR="00D61793">
        <w:rPr>
          <w:rFonts w:ascii="Open Sans Light" w:hAnsi="Open Sans Light" w:cs="Open Sans Light"/>
        </w:rPr>
        <w:t>Ministero del</w:t>
      </w:r>
      <w:r w:rsidR="00605C66">
        <w:rPr>
          <w:rFonts w:ascii="Open Sans Light" w:hAnsi="Open Sans Light" w:cs="Open Sans Light"/>
        </w:rPr>
        <w:t>la Giustizia</w:t>
      </w:r>
      <w:r w:rsidRPr="00256E31">
        <w:rPr>
          <w:rFonts w:ascii="Open Sans Light" w:hAnsi="Open Sans Light" w:cs="Open Sans Light"/>
        </w:rPr>
        <w:t xml:space="preserve"> e le relative schede tecniche</w:t>
      </w:r>
      <w:r w:rsidR="00BA3E2E">
        <w:rPr>
          <w:rFonts w:ascii="Open Sans Light" w:hAnsi="Open Sans Light" w:cs="Open Sans Light"/>
        </w:rPr>
        <w:t xml:space="preserve"> </w:t>
      </w:r>
      <w:r w:rsidR="00BA3E2E" w:rsidRPr="003C4702">
        <w:rPr>
          <w:rFonts w:ascii="Open Sans Light" w:hAnsi="Open Sans Light" w:cs="Open Sans Light"/>
        </w:rPr>
        <w:t>da considerare ai fini del rispetto del principio DNSH</w:t>
      </w:r>
      <w:r w:rsidRPr="00256E31">
        <w:rPr>
          <w:rFonts w:ascii="Open Sans Light" w:hAnsi="Open Sans Light" w:cs="Open Sans Light"/>
        </w:rPr>
        <w:t xml:space="preserve"> allegate alla Circolare n. 32 del 30 dicembre 2021, come modificata dalla Circolare MEF n.33 del 13 ottobre 2022</w:t>
      </w:r>
      <w:r w:rsidR="00A672E4">
        <w:rPr>
          <w:rFonts w:ascii="Open Sans Light" w:hAnsi="Open Sans Light" w:cs="Open Sans Light"/>
        </w:rPr>
        <w:t>, nonché il Regime applicabile (Regime 1</w:t>
      </w:r>
      <w:r w:rsidR="00A12311">
        <w:rPr>
          <w:rFonts w:ascii="Open Sans Light" w:hAnsi="Open Sans Light" w:cs="Open Sans Light"/>
        </w:rPr>
        <w:t xml:space="preserve"> e 2</w:t>
      </w:r>
      <w:r w:rsidR="00A672E4" w:rsidRPr="000C7A7D">
        <w:rPr>
          <w:rFonts w:ascii="Open Sans Light" w:hAnsi="Open Sans Light" w:cs="Open Sans Light"/>
        </w:rPr>
        <w:t>).</w:t>
      </w:r>
      <w:r w:rsidR="00BA3E2E" w:rsidRPr="006C0772">
        <w:rPr>
          <w:rFonts w:ascii="Open Sans Light" w:hAnsi="Open Sans Light" w:cs="Open Sans Light"/>
        </w:rPr>
        <w:t xml:space="preserve"> Tali schede hanno lo scopo di </w:t>
      </w:r>
      <w:r w:rsidR="00BA3E2E" w:rsidRPr="006C0772">
        <w:rPr>
          <w:rFonts w:ascii="Open Sans Light" w:hAnsi="Open Sans Light" w:cs="Open Sans Light"/>
        </w:rPr>
        <w:lastRenderedPageBreak/>
        <w:t>assistere i soggetti preposti, al livello appropriato, alla gestione degli investimenti nel processo di indirizzo, raccolta di informazioni e verifica, fornendo indicazioni sui requisiti tassonomici, sulla normativa corrispondente e sugli elementi utili per documentare il rispetto di tali requisiti sui singoli settori di intervento del PNRR</w:t>
      </w:r>
      <w:r w:rsidR="006C0772">
        <w:rPr>
          <w:rFonts w:ascii="Open Sans Light" w:hAnsi="Open Sans Light" w:cs="Open Sans Light"/>
        </w:rPr>
        <w:t>.</w:t>
      </w:r>
    </w:p>
    <w:p w14:paraId="2E7F0846" w14:textId="5EF06216" w:rsidR="00CC2047" w:rsidRDefault="00CC2047" w:rsidP="00BB71A6">
      <w:pPr>
        <w:spacing w:line="259" w:lineRule="auto"/>
        <w:ind w:left="465" w:right="454" w:hanging="11"/>
        <w:rPr>
          <w:rFonts w:ascii="Open Sans Light" w:hAnsi="Open Sans Light" w:cs="Open Sans Light"/>
        </w:rPr>
      </w:pPr>
    </w:p>
    <w:p w14:paraId="2572E495" w14:textId="6A3CD6B6" w:rsidR="0095576D" w:rsidRDefault="0095576D" w:rsidP="00BB71A6">
      <w:pPr>
        <w:spacing w:line="259" w:lineRule="auto"/>
        <w:ind w:left="465" w:right="454" w:hanging="11"/>
        <w:rPr>
          <w:rFonts w:ascii="Open Sans Light" w:hAnsi="Open Sans Light" w:cs="Open Sans Light"/>
        </w:rPr>
      </w:pPr>
      <w:r w:rsidRPr="0095576D">
        <w:rPr>
          <w:noProof/>
        </w:rPr>
        <w:drawing>
          <wp:inline distT="0" distB="0" distL="0" distR="0" wp14:anchorId="1CAB0E84" wp14:editId="297C9614">
            <wp:extent cx="6685915" cy="1261110"/>
            <wp:effectExtent l="0" t="0" r="635" b="0"/>
            <wp:docPr id="257935975" name="Picture 257935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85915" cy="1261110"/>
                    </a:xfrm>
                    <a:prstGeom prst="rect">
                      <a:avLst/>
                    </a:prstGeom>
                    <a:noFill/>
                    <a:ln>
                      <a:noFill/>
                    </a:ln>
                  </pic:spPr>
                </pic:pic>
              </a:graphicData>
            </a:graphic>
          </wp:inline>
        </w:drawing>
      </w:r>
    </w:p>
    <w:p w14:paraId="52390E21" w14:textId="0620AC4F" w:rsidR="00BA3E2E" w:rsidRPr="003C4702" w:rsidRDefault="00C244C1" w:rsidP="00BB71A6">
      <w:pPr>
        <w:ind w:right="454"/>
        <w:rPr>
          <w:rFonts w:ascii="Open Sans Light" w:hAnsi="Open Sans Light" w:cs="Open Sans Light"/>
        </w:rPr>
      </w:pPr>
      <w:r w:rsidRPr="00256E31">
        <w:rPr>
          <w:rFonts w:ascii="Open Sans Light" w:hAnsi="Open Sans Light" w:cs="Open Sans Light"/>
        </w:rPr>
        <w:t xml:space="preserve">Le schede tecniche identificano gli elementi di verifica dei vincoli DNSH, differenziandoli, ove applicabile, tra quelli </w:t>
      </w:r>
      <w:r w:rsidR="008A6500" w:rsidRPr="00256E31">
        <w:rPr>
          <w:rFonts w:ascii="Open Sans Light" w:hAnsi="Open Sans Light" w:cs="Open Sans Light"/>
        </w:rPr>
        <w:t>ex-ante ed ex-post</w:t>
      </w:r>
      <w:r w:rsidRPr="00256E31">
        <w:rPr>
          <w:rFonts w:ascii="Open Sans Light" w:hAnsi="Open Sans Light" w:cs="Open Sans Light"/>
        </w:rPr>
        <w:t>.</w:t>
      </w:r>
      <w:r w:rsidR="00F832CA" w:rsidRPr="00F832CA">
        <w:rPr>
          <w:rFonts w:ascii="Open Sans Light" w:hAnsi="Open Sans Light" w:cs="Open Sans Light"/>
        </w:rPr>
        <w:t xml:space="preserve"> </w:t>
      </w:r>
      <w:r w:rsidR="00BA3E2E" w:rsidRPr="003C4702">
        <w:rPr>
          <w:rFonts w:ascii="Open Sans Light" w:hAnsi="Open Sans Light" w:cs="Open Sans Light"/>
        </w:rPr>
        <w:t>A seconda che la misura ricada o meno in un investimento per il quale è stato definito un contributo sostanziale alla mitigazione dei cambiamenti climatici</w:t>
      </w:r>
      <w:r w:rsidR="002448B1">
        <w:rPr>
          <w:rFonts w:ascii="Open Sans Light" w:hAnsi="Open Sans Light" w:cs="Open Sans Light"/>
        </w:rPr>
        <w:t xml:space="preserve"> (Regime 1 o Regime 2)</w:t>
      </w:r>
      <w:r w:rsidR="00BA3E2E" w:rsidRPr="003C4702">
        <w:rPr>
          <w:rFonts w:ascii="Open Sans Light" w:hAnsi="Open Sans Light" w:cs="Open Sans Light"/>
        </w:rPr>
        <w:t>, le procedure dovranno prendere in considerazione determinati criteri ed elementi di verifica ex ante ed ex post, individuati nella</w:t>
      </w:r>
      <w:r w:rsidR="00BA3E2E">
        <w:rPr>
          <w:rFonts w:ascii="Open Sans Light" w:hAnsi="Open Sans Light" w:cs="Open Sans Light"/>
        </w:rPr>
        <w:t xml:space="preserve"> relativa</w:t>
      </w:r>
      <w:r w:rsidR="00BA3E2E" w:rsidRPr="003C4702">
        <w:rPr>
          <w:rFonts w:ascii="Open Sans Light" w:hAnsi="Open Sans Light" w:cs="Open Sans Light"/>
        </w:rPr>
        <w:t xml:space="preserve"> scheda tecnica. </w:t>
      </w:r>
    </w:p>
    <w:p w14:paraId="3BC99837" w14:textId="2594455D" w:rsidR="00912207" w:rsidRDefault="004E26AD" w:rsidP="0050687D">
      <w:pPr>
        <w:spacing w:line="240" w:lineRule="auto"/>
        <w:ind w:left="454" w:right="454" w:firstLine="0"/>
        <w:rPr>
          <w:rFonts w:ascii="Open Sans Light" w:hAnsi="Open Sans Light" w:cs="Open Sans Light"/>
        </w:rPr>
      </w:pPr>
      <w:r w:rsidRPr="008D0ABC">
        <w:rPr>
          <w:rFonts w:ascii="Open Sans Light" w:hAnsi="Open Sans Light" w:cs="Open Sans Light"/>
        </w:rPr>
        <w:t>Dopo l’analisi della scheda tecnica</w:t>
      </w:r>
      <w:r>
        <w:rPr>
          <w:rFonts w:ascii="Open Sans Light" w:hAnsi="Open Sans Light" w:cs="Open Sans Light"/>
        </w:rPr>
        <w:t>, p</w:t>
      </w:r>
      <w:r w:rsidR="00C244C1" w:rsidRPr="00256E31">
        <w:rPr>
          <w:rFonts w:ascii="Open Sans Light" w:hAnsi="Open Sans Light" w:cs="Open Sans Light"/>
        </w:rPr>
        <w:t xml:space="preserve">er ciascun settore di intervento ritenuto rilevante da parte del </w:t>
      </w:r>
      <w:r w:rsidR="004120E7">
        <w:rPr>
          <w:rFonts w:ascii="Open Sans Light" w:hAnsi="Open Sans Light" w:cs="Open Sans Light"/>
        </w:rPr>
        <w:t>Soggetto attuatore</w:t>
      </w:r>
      <w:r w:rsidR="00C244C1" w:rsidRPr="00256E31">
        <w:rPr>
          <w:rFonts w:ascii="Open Sans Light" w:hAnsi="Open Sans Light" w:cs="Open Sans Light"/>
        </w:rPr>
        <w:t xml:space="preserve"> ai fini del rispetto del principio DNSH, sarà necessario procedere alla compilazione della relativa </w:t>
      </w:r>
      <w:r w:rsidR="00C244C1" w:rsidRPr="00256E31">
        <w:rPr>
          <w:rFonts w:ascii="Open Sans Light" w:hAnsi="Open Sans Light" w:cs="Open Sans Light"/>
          <w:b/>
        </w:rPr>
        <w:t>check list di verifica e controllo</w:t>
      </w:r>
      <w:r w:rsidR="00C244C1" w:rsidRPr="00256E31">
        <w:rPr>
          <w:rFonts w:ascii="Open Sans Light" w:hAnsi="Open Sans Light" w:cs="Open Sans Light"/>
        </w:rPr>
        <w:t xml:space="preserve">, che riassume in modo sintetico i principali elementi di verifica richiesti nella </w:t>
      </w:r>
      <w:r w:rsidR="00C244C1" w:rsidRPr="00256E31">
        <w:rPr>
          <w:rFonts w:ascii="Open Sans Light" w:hAnsi="Open Sans Light" w:cs="Open Sans Light"/>
          <w:b/>
        </w:rPr>
        <w:t>corrispondente scheda tecnica</w:t>
      </w:r>
      <w:r w:rsidR="004623BE">
        <w:rPr>
          <w:rFonts w:ascii="Open Sans Light" w:hAnsi="Open Sans Light" w:cs="Open Sans Light"/>
        </w:rPr>
        <w:t xml:space="preserve">. </w:t>
      </w:r>
    </w:p>
    <w:p w14:paraId="218F46D0" w14:textId="33133E25" w:rsidR="004C31E6" w:rsidRPr="00104689" w:rsidRDefault="00104689" w:rsidP="007A70C2">
      <w:pPr>
        <w:spacing w:line="240" w:lineRule="auto"/>
        <w:ind w:left="454" w:right="454" w:firstLine="0"/>
        <w:rPr>
          <w:rFonts w:ascii="Open Sans Light" w:hAnsi="Open Sans Light" w:cs="Open Sans Light"/>
        </w:rPr>
      </w:pPr>
      <w:r w:rsidRPr="002035A8">
        <w:rPr>
          <w:rFonts w:ascii="Open Sans Light" w:eastAsiaTheme="minorEastAsia" w:hAnsi="Open Sans Light" w:cs="Open Sans Light"/>
          <w:szCs w:val="24"/>
        </w:rPr>
        <w:t xml:space="preserve">Le </w:t>
      </w:r>
      <w:r w:rsidRPr="008D0ABC">
        <w:rPr>
          <w:rFonts w:ascii="Open Sans Light" w:eastAsiaTheme="minorEastAsia" w:hAnsi="Open Sans Light" w:cs="Open Sans Light"/>
          <w:b/>
          <w:szCs w:val="24"/>
        </w:rPr>
        <w:t>check list</w:t>
      </w:r>
      <w:r w:rsidRPr="002035A8">
        <w:rPr>
          <w:rFonts w:ascii="Open Sans Light" w:eastAsiaTheme="minorEastAsia" w:hAnsi="Open Sans Light" w:cs="Open Sans Light"/>
          <w:szCs w:val="24"/>
        </w:rPr>
        <w:t xml:space="preserve"> contengono un elenco di punti di domanda relativi alle verifiche e ai controlli utili a garantire il principio DNSH, indicate nella colonna “</w:t>
      </w:r>
      <w:r w:rsidR="001F55AF">
        <w:rPr>
          <w:rFonts w:ascii="Open Sans Light" w:eastAsiaTheme="minorEastAsia" w:hAnsi="Open Sans Light" w:cs="Open Sans Light"/>
          <w:szCs w:val="24"/>
        </w:rPr>
        <w:t>Attività</w:t>
      </w:r>
      <w:r w:rsidR="001F55AF" w:rsidRPr="002035A8">
        <w:rPr>
          <w:rFonts w:ascii="Open Sans Light" w:eastAsiaTheme="minorEastAsia" w:hAnsi="Open Sans Light" w:cs="Open Sans Light"/>
          <w:szCs w:val="24"/>
        </w:rPr>
        <w:t xml:space="preserve"> </w:t>
      </w:r>
      <w:r w:rsidRPr="002035A8">
        <w:rPr>
          <w:rFonts w:ascii="Open Sans Light" w:eastAsiaTheme="minorEastAsia" w:hAnsi="Open Sans Light" w:cs="Open Sans Light"/>
          <w:szCs w:val="24"/>
        </w:rPr>
        <w:t xml:space="preserve">di controllo”. </w:t>
      </w:r>
      <w:r w:rsidR="004C31E6" w:rsidRPr="00104689">
        <w:rPr>
          <w:rFonts w:ascii="Open Sans Light" w:hAnsi="Open Sans Light" w:cs="Open Sans Light"/>
        </w:rPr>
        <w:t xml:space="preserve">Si evidenzia che, per ciascuna voce della check-list, </w:t>
      </w:r>
      <w:r w:rsidR="001F55AF">
        <w:rPr>
          <w:rFonts w:ascii="Open Sans Light" w:hAnsi="Open Sans Light" w:cs="Open Sans Light"/>
        </w:rPr>
        <w:t xml:space="preserve">l’esito del controllo andrà valorizzato </w:t>
      </w:r>
      <w:r w:rsidR="004C31E6" w:rsidRPr="00104689">
        <w:rPr>
          <w:rFonts w:ascii="Open Sans Light" w:hAnsi="Open Sans Light" w:cs="Open Sans Light"/>
        </w:rPr>
        <w:t>con “</w:t>
      </w:r>
      <w:r w:rsidR="009732E7">
        <w:rPr>
          <w:rFonts w:ascii="Open Sans Light" w:hAnsi="Open Sans Light" w:cs="Open Sans Light"/>
        </w:rPr>
        <w:t>regolare</w:t>
      </w:r>
      <w:r w:rsidR="004C31E6" w:rsidRPr="00104689">
        <w:rPr>
          <w:rFonts w:ascii="Open Sans Light" w:hAnsi="Open Sans Light" w:cs="Open Sans Light"/>
        </w:rPr>
        <w:t>”, “no</w:t>
      </w:r>
      <w:r w:rsidR="009732E7">
        <w:rPr>
          <w:rFonts w:ascii="Open Sans Light" w:hAnsi="Open Sans Light" w:cs="Open Sans Light"/>
        </w:rPr>
        <w:t>n regolare</w:t>
      </w:r>
      <w:r w:rsidR="004C31E6" w:rsidRPr="00104689">
        <w:rPr>
          <w:rFonts w:ascii="Open Sans Light" w:hAnsi="Open Sans Light" w:cs="Open Sans Light"/>
        </w:rPr>
        <w:t xml:space="preserve">” o “non applicabile”. </w:t>
      </w:r>
      <w:r w:rsidR="002560E2">
        <w:rPr>
          <w:rFonts w:ascii="Open Sans Light" w:hAnsi="Open Sans Light" w:cs="Open Sans Light"/>
        </w:rPr>
        <w:t>Nel</w:t>
      </w:r>
      <w:r w:rsidR="009732E7">
        <w:rPr>
          <w:rFonts w:ascii="Open Sans Light" w:hAnsi="Open Sans Light" w:cs="Open Sans Light"/>
        </w:rPr>
        <w:t xml:space="preserve"> campo “Estremi documentazione controllata” </w:t>
      </w:r>
      <w:r w:rsidR="002560E2">
        <w:rPr>
          <w:rFonts w:ascii="Open Sans Light" w:hAnsi="Open Sans Light" w:cs="Open Sans Light"/>
        </w:rPr>
        <w:t xml:space="preserve">dovrà essere riportata la lista dei documenti dai quali è stato possibile riscontrare il rispetto dell’adempimento previsto dal punto di controllo e nel campo “Note” dovrà essere </w:t>
      </w:r>
      <w:r w:rsidR="00F76861">
        <w:rPr>
          <w:rFonts w:ascii="Open Sans Light" w:hAnsi="Open Sans Light" w:cs="Open Sans Light"/>
        </w:rPr>
        <w:t>argomentato, in maniera sintetica, l’esito del controllo.</w:t>
      </w:r>
      <w:r w:rsidR="004C31E6" w:rsidRPr="00104689">
        <w:rPr>
          <w:rFonts w:ascii="Open Sans Light" w:hAnsi="Open Sans Light" w:cs="Open Sans Light"/>
        </w:rPr>
        <w:t xml:space="preserve"> Sempre per quanto attiene la compilazione delle checklist, un ulteriore elemento di dettaglio consiste nella loro suddivisione in due fasi di verifica, </w:t>
      </w:r>
      <w:r w:rsidR="004C31E6" w:rsidRPr="00104689">
        <w:rPr>
          <w:rFonts w:ascii="Open Sans Light" w:hAnsi="Open Sans Light" w:cs="Open Sans Light"/>
          <w:b/>
          <w:bCs/>
        </w:rPr>
        <w:t>ex-ante</w:t>
      </w:r>
      <w:r w:rsidR="004C31E6" w:rsidRPr="00104689">
        <w:rPr>
          <w:rFonts w:ascii="Open Sans Light" w:hAnsi="Open Sans Light" w:cs="Open Sans Light"/>
        </w:rPr>
        <w:t xml:space="preserve"> ed </w:t>
      </w:r>
      <w:r w:rsidR="004C31E6" w:rsidRPr="00104689">
        <w:rPr>
          <w:rFonts w:ascii="Open Sans Light" w:hAnsi="Open Sans Light" w:cs="Open Sans Light"/>
          <w:b/>
          <w:bCs/>
        </w:rPr>
        <w:t>ex-post</w:t>
      </w:r>
      <w:r w:rsidR="004C31E6" w:rsidRPr="00104689">
        <w:rPr>
          <w:rFonts w:ascii="Open Sans Light" w:hAnsi="Open Sans Light" w:cs="Open Sans Light"/>
        </w:rPr>
        <w:t xml:space="preserve">. </w:t>
      </w:r>
      <w:r w:rsidR="00350ED4">
        <w:rPr>
          <w:rFonts w:ascii="Open Sans Light" w:hAnsi="Open Sans Light" w:cs="Open Sans Light"/>
        </w:rPr>
        <w:t>La verifica ex ante</w:t>
      </w:r>
      <w:r w:rsidR="004C31E6" w:rsidRPr="00104689">
        <w:rPr>
          <w:rFonts w:ascii="Open Sans Light" w:hAnsi="Open Sans Light" w:cs="Open Sans Light"/>
        </w:rPr>
        <w:t xml:space="preserve">, </w:t>
      </w:r>
      <w:r w:rsidR="005A1776">
        <w:rPr>
          <w:rFonts w:ascii="Open Sans Light" w:hAnsi="Open Sans Light" w:cs="Open Sans Light"/>
        </w:rPr>
        <w:t xml:space="preserve">– in linea generale </w:t>
      </w:r>
      <w:r w:rsidR="00350ED4">
        <w:rPr>
          <w:rFonts w:ascii="Open Sans Light" w:hAnsi="Open Sans Light" w:cs="Open Sans Light"/>
        </w:rPr>
        <w:t>– sarà svolta ne</w:t>
      </w:r>
      <w:r w:rsidR="004C31E6" w:rsidRPr="00104689">
        <w:rPr>
          <w:rFonts w:ascii="Open Sans Light" w:hAnsi="Open Sans Light" w:cs="Open Sans Light"/>
        </w:rPr>
        <w:t xml:space="preserve">lla fase </w:t>
      </w:r>
      <w:r w:rsidR="0019372C">
        <w:rPr>
          <w:rFonts w:ascii="Open Sans Light" w:hAnsi="Open Sans Light" w:cs="Open Sans Light"/>
        </w:rPr>
        <w:t xml:space="preserve">di progettazione </w:t>
      </w:r>
      <w:r w:rsidR="009E34B3">
        <w:rPr>
          <w:rFonts w:ascii="Open Sans Light" w:hAnsi="Open Sans Light" w:cs="Open Sans Light"/>
        </w:rPr>
        <w:t>dell</w:t>
      </w:r>
      <w:r w:rsidR="00393682">
        <w:rPr>
          <w:rFonts w:ascii="Open Sans Light" w:hAnsi="Open Sans Light" w:cs="Open Sans Light"/>
        </w:rPr>
        <w:t>’intervento</w:t>
      </w:r>
      <w:r w:rsidR="00C21738">
        <w:rPr>
          <w:rFonts w:ascii="Open Sans Light" w:hAnsi="Open Sans Light" w:cs="Open Sans Light"/>
        </w:rPr>
        <w:t xml:space="preserve"> </w:t>
      </w:r>
      <w:r w:rsidR="00350ED4">
        <w:rPr>
          <w:rFonts w:ascii="Open Sans Light" w:hAnsi="Open Sans Light" w:cs="Open Sans Light"/>
        </w:rPr>
        <w:t xml:space="preserve">fermo restando che in tutte le fasi l’Amministrazione Titolare e il Soggetto Attuatore dovranno tenere conto dei vincoli DNSH e degli adempimenti </w:t>
      </w:r>
      <w:r w:rsidR="001A60A8">
        <w:rPr>
          <w:rFonts w:ascii="Open Sans Light" w:hAnsi="Open Sans Light" w:cs="Open Sans Light"/>
        </w:rPr>
        <w:t>previsti</w:t>
      </w:r>
      <w:r w:rsidR="00350ED4">
        <w:rPr>
          <w:rFonts w:ascii="Open Sans Light" w:hAnsi="Open Sans Light" w:cs="Open Sans Light"/>
        </w:rPr>
        <w:t xml:space="preserve">. </w:t>
      </w:r>
      <w:r w:rsidR="001A60A8">
        <w:rPr>
          <w:rFonts w:ascii="Open Sans Light" w:hAnsi="Open Sans Light" w:cs="Open Sans Light"/>
        </w:rPr>
        <w:t xml:space="preserve">La verifica ex post sarà condotta a conclusione dell’intervento/dei lavori </w:t>
      </w:r>
      <w:r w:rsidR="00CC2AB4">
        <w:rPr>
          <w:rFonts w:ascii="Open Sans Light" w:hAnsi="Open Sans Light" w:cs="Open Sans Light"/>
        </w:rPr>
        <w:t>tenuto conto degli esiti del collaudo e</w:t>
      </w:r>
      <w:r w:rsidR="00F71CE0">
        <w:rPr>
          <w:rFonts w:ascii="Open Sans Light" w:hAnsi="Open Sans Light" w:cs="Open Sans Light"/>
        </w:rPr>
        <w:t xml:space="preserve">/o </w:t>
      </w:r>
      <w:r w:rsidR="00151C6B">
        <w:rPr>
          <w:rFonts w:ascii="Open Sans Light" w:hAnsi="Open Sans Light" w:cs="Open Sans Light"/>
        </w:rPr>
        <w:t xml:space="preserve">delle asseverazioni </w:t>
      </w:r>
      <w:r w:rsidR="00A55D26">
        <w:rPr>
          <w:rFonts w:ascii="Open Sans Light" w:hAnsi="Open Sans Light" w:cs="Open Sans Light"/>
        </w:rPr>
        <w:t>inerenti al</w:t>
      </w:r>
      <w:r w:rsidR="00EA13D3">
        <w:rPr>
          <w:rFonts w:ascii="Open Sans Light" w:hAnsi="Open Sans Light" w:cs="Open Sans Light"/>
        </w:rPr>
        <w:t xml:space="preserve">l’efficientamento </w:t>
      </w:r>
      <w:proofErr w:type="gramStart"/>
      <w:r w:rsidR="00EA13D3">
        <w:rPr>
          <w:rFonts w:ascii="Open Sans Light" w:hAnsi="Open Sans Light" w:cs="Open Sans Light"/>
        </w:rPr>
        <w:t>energetico.</w:t>
      </w:r>
      <w:r w:rsidR="004C31E6" w:rsidRPr="00104689">
        <w:rPr>
          <w:rFonts w:ascii="Open Sans Light" w:hAnsi="Open Sans Light" w:cs="Open Sans Light"/>
        </w:rPr>
        <w:t>.</w:t>
      </w:r>
      <w:proofErr w:type="gramEnd"/>
    </w:p>
    <w:p w14:paraId="200348EC" w14:textId="77777777" w:rsidR="00937B23" w:rsidRPr="00104689" w:rsidRDefault="00937B23" w:rsidP="007A70C2">
      <w:pPr>
        <w:spacing w:line="240" w:lineRule="auto"/>
        <w:ind w:left="454" w:right="454" w:firstLine="0"/>
        <w:rPr>
          <w:rFonts w:ascii="Open Sans Light" w:hAnsi="Open Sans Light" w:cs="Open Sans Light"/>
        </w:rPr>
      </w:pPr>
    </w:p>
    <w:p w14:paraId="0FC88149" w14:textId="37DDC7AD" w:rsidR="0051144E" w:rsidRPr="00965036" w:rsidRDefault="00B14443" w:rsidP="0050687D">
      <w:pPr>
        <w:pStyle w:val="Titolo1"/>
        <w:numPr>
          <w:ilvl w:val="0"/>
          <w:numId w:val="8"/>
        </w:numPr>
        <w:ind w:left="454" w:right="454"/>
        <w:rPr>
          <w:rFonts w:asciiTheme="minorHAnsi" w:hAnsiTheme="minorHAnsi" w:cstheme="minorHAnsi"/>
        </w:rPr>
      </w:pPr>
      <w:bookmarkStart w:id="31" w:name="_Toc152582345"/>
      <w:r>
        <w:rPr>
          <w:rFonts w:asciiTheme="minorHAnsi" w:hAnsiTheme="minorHAnsi" w:cstheme="minorHAnsi"/>
          <w:b/>
          <w:u w:val="none"/>
        </w:rPr>
        <w:t>C</w:t>
      </w:r>
      <w:r w:rsidR="00965036" w:rsidRPr="00B971CF">
        <w:rPr>
          <w:rFonts w:asciiTheme="minorHAnsi" w:hAnsiTheme="minorHAnsi" w:cstheme="minorHAnsi"/>
          <w:b/>
          <w:u w:val="none"/>
        </w:rPr>
        <w:t>onservazione della documentazione</w:t>
      </w:r>
      <w:bookmarkEnd w:id="31"/>
      <w:r w:rsidR="00965036" w:rsidRPr="00B971CF">
        <w:rPr>
          <w:rFonts w:asciiTheme="minorHAnsi" w:hAnsiTheme="minorHAnsi" w:cstheme="minorHAnsi"/>
          <w:b/>
          <w:u w:val="none"/>
        </w:rPr>
        <w:t xml:space="preserve"> </w:t>
      </w:r>
    </w:p>
    <w:p w14:paraId="678AC0D2" w14:textId="4396A83F" w:rsidR="0051144E" w:rsidRDefault="0051144E" w:rsidP="0050687D">
      <w:pPr>
        <w:spacing w:line="240" w:lineRule="auto"/>
        <w:ind w:left="454" w:right="454" w:firstLine="0"/>
        <w:rPr>
          <w:rFonts w:ascii="Open Sans Light" w:hAnsi="Open Sans Light" w:cs="Open Sans Light"/>
        </w:rPr>
      </w:pPr>
      <w:r w:rsidRPr="003D6611">
        <w:rPr>
          <w:rFonts w:ascii="Open Sans Light" w:hAnsi="Open Sans Light" w:cs="Open Sans Light"/>
        </w:rPr>
        <w:t xml:space="preserve">Il </w:t>
      </w:r>
      <w:r w:rsidR="004120E7" w:rsidRPr="003D6611">
        <w:rPr>
          <w:rFonts w:ascii="Open Sans Light" w:hAnsi="Open Sans Light" w:cs="Open Sans Light"/>
        </w:rPr>
        <w:t>Soggetto attuatore</w:t>
      </w:r>
      <w:r w:rsidRPr="003D6611">
        <w:rPr>
          <w:rFonts w:ascii="Open Sans Light" w:hAnsi="Open Sans Light" w:cs="Open Sans Light"/>
        </w:rPr>
        <w:t xml:space="preserve"> è tenuto a conservare, in formato cartaceo e/o elettronico, tutta la documentazione richiesta, che consent</w:t>
      </w:r>
      <w:r w:rsidR="006558FF" w:rsidRPr="003D6611">
        <w:rPr>
          <w:rFonts w:ascii="Open Sans Light" w:hAnsi="Open Sans Light" w:cs="Open Sans Light"/>
        </w:rPr>
        <w:t>a</w:t>
      </w:r>
      <w:r w:rsidRPr="003D6611">
        <w:rPr>
          <w:rFonts w:ascii="Open Sans Light" w:hAnsi="Open Sans Light" w:cs="Open Sans Light"/>
        </w:rPr>
        <w:t xml:space="preserve"> di dimostrare </w:t>
      </w:r>
      <w:r w:rsidR="009E6CAC" w:rsidRPr="003D6611">
        <w:rPr>
          <w:rFonts w:ascii="Open Sans Light" w:hAnsi="Open Sans Light" w:cs="Open Sans Light"/>
        </w:rPr>
        <w:t>–</w:t>
      </w:r>
      <w:r w:rsidRPr="003D6611">
        <w:rPr>
          <w:rFonts w:ascii="Open Sans Light" w:hAnsi="Open Sans Light" w:cs="Open Sans Light"/>
        </w:rPr>
        <w:t xml:space="preserve"> in caso di eventuale controllo da parte delle Autorità competenti – il rispetto del principio “Do No </w:t>
      </w:r>
      <w:proofErr w:type="spellStart"/>
      <w:r w:rsidRPr="003D6611">
        <w:rPr>
          <w:rFonts w:ascii="Open Sans Light" w:hAnsi="Open Sans Light" w:cs="Open Sans Light"/>
        </w:rPr>
        <w:t>Significant</w:t>
      </w:r>
      <w:proofErr w:type="spellEnd"/>
      <w:r w:rsidRPr="003D6611">
        <w:rPr>
          <w:rFonts w:ascii="Open Sans Light" w:hAnsi="Open Sans Light" w:cs="Open Sans Light"/>
        </w:rPr>
        <w:t xml:space="preserve"> </w:t>
      </w:r>
      <w:proofErr w:type="spellStart"/>
      <w:r w:rsidRPr="003D6611">
        <w:rPr>
          <w:rFonts w:ascii="Open Sans Light" w:hAnsi="Open Sans Light" w:cs="Open Sans Light"/>
        </w:rPr>
        <w:t>Harm</w:t>
      </w:r>
      <w:proofErr w:type="spellEnd"/>
      <w:r w:rsidRPr="003D6611">
        <w:rPr>
          <w:rFonts w:ascii="Open Sans Light" w:hAnsi="Open Sans Light" w:cs="Open Sans Light"/>
        </w:rPr>
        <w:t>” (DNSH).</w:t>
      </w:r>
    </w:p>
    <w:p w14:paraId="078D24EC" w14:textId="77777777" w:rsidR="00DC1EC6" w:rsidRPr="0043063B" w:rsidRDefault="00DC1EC6" w:rsidP="0043063B">
      <w:pPr>
        <w:spacing w:line="240" w:lineRule="auto"/>
        <w:ind w:left="454" w:right="454" w:firstLine="0"/>
        <w:rPr>
          <w:rFonts w:ascii="Open Sans Light" w:hAnsi="Open Sans Light" w:cs="Open Sans Light"/>
        </w:rPr>
      </w:pPr>
      <w:r w:rsidRPr="0043063B">
        <w:rPr>
          <w:rFonts w:ascii="Open Sans Light" w:hAnsi="Open Sans Light" w:cs="Open Sans Light"/>
        </w:rPr>
        <w:lastRenderedPageBreak/>
        <w:t>Si evidenzia che la mancata/incompleta/inesatta predisposizione e conservazione della documentazione richiesta costituisce la violazione del rispetto del principio di “non arrecare un danno significativo all’ambiente” e che sono previsti meccanismi amministrativi automatici che comportano la sospensione dei pagamenti e l’avocazione del procedimento in caso di mancato rispetto del DNSH.</w:t>
      </w:r>
    </w:p>
    <w:p w14:paraId="05C15367" w14:textId="77777777" w:rsidR="00DC1EC6" w:rsidRPr="003D6611" w:rsidRDefault="00DC1EC6" w:rsidP="0050687D">
      <w:pPr>
        <w:spacing w:line="240" w:lineRule="auto"/>
        <w:ind w:left="454" w:right="454" w:firstLine="0"/>
        <w:rPr>
          <w:rFonts w:ascii="Open Sans Light" w:hAnsi="Open Sans Light" w:cs="Open Sans Light"/>
        </w:rPr>
      </w:pPr>
    </w:p>
    <w:p w14:paraId="51142383" w14:textId="77777777" w:rsidR="0051144E" w:rsidRPr="00B971CF" w:rsidRDefault="0051144E" w:rsidP="0050687D">
      <w:pPr>
        <w:pStyle w:val="Titolo1"/>
        <w:numPr>
          <w:ilvl w:val="0"/>
          <w:numId w:val="8"/>
        </w:numPr>
        <w:ind w:left="454" w:right="454"/>
        <w:rPr>
          <w:rFonts w:asciiTheme="minorHAnsi" w:hAnsiTheme="minorHAnsi" w:cstheme="minorHAnsi"/>
        </w:rPr>
      </w:pPr>
      <w:bookmarkStart w:id="32" w:name="_Toc152582346"/>
      <w:r w:rsidRPr="00B971CF">
        <w:rPr>
          <w:rFonts w:asciiTheme="minorHAnsi" w:hAnsiTheme="minorHAnsi" w:cstheme="minorHAnsi"/>
          <w:b/>
          <w:u w:val="none"/>
        </w:rPr>
        <w:t>Conclusioni</w:t>
      </w:r>
      <w:bookmarkEnd w:id="32"/>
      <w:r w:rsidRPr="00B971CF">
        <w:rPr>
          <w:rFonts w:asciiTheme="minorHAnsi" w:hAnsiTheme="minorHAnsi" w:cstheme="minorHAnsi"/>
          <w:b/>
          <w:u w:val="none"/>
        </w:rPr>
        <w:t xml:space="preserve"> </w:t>
      </w:r>
    </w:p>
    <w:p w14:paraId="0CA32FA9" w14:textId="2B938DE9" w:rsidR="0051144E" w:rsidRPr="003D6611" w:rsidRDefault="0051144E" w:rsidP="0050687D">
      <w:pPr>
        <w:spacing w:line="240" w:lineRule="auto"/>
        <w:ind w:left="454" w:right="454" w:firstLine="0"/>
        <w:rPr>
          <w:rFonts w:ascii="Open Sans Light" w:hAnsi="Open Sans Light" w:cs="Open Sans Light"/>
        </w:rPr>
      </w:pPr>
      <w:r w:rsidRPr="003D6611">
        <w:rPr>
          <w:rFonts w:ascii="Open Sans Light" w:hAnsi="Open Sans Light" w:cs="Open Sans Light"/>
        </w:rPr>
        <w:t xml:space="preserve">Il </w:t>
      </w:r>
      <w:r w:rsidR="00D61793">
        <w:rPr>
          <w:rFonts w:ascii="Open Sans Light" w:hAnsi="Open Sans Light" w:cs="Open Sans Light"/>
        </w:rPr>
        <w:t>Ministero del</w:t>
      </w:r>
      <w:r w:rsidR="00811952">
        <w:rPr>
          <w:rFonts w:ascii="Open Sans Light" w:hAnsi="Open Sans Light" w:cs="Open Sans Light"/>
        </w:rPr>
        <w:t xml:space="preserve">la Giustizia </w:t>
      </w:r>
      <w:r w:rsidRPr="003D6611">
        <w:rPr>
          <w:rFonts w:ascii="Open Sans Light" w:hAnsi="Open Sans Light" w:cs="Open Sans Light"/>
        </w:rPr>
        <w:t xml:space="preserve">si riserva la facoltà di fornire ulteriori indicazioni in funzione di nuovi atti legislativi e/o documenti di riferimento </w:t>
      </w:r>
      <w:r w:rsidR="00965036" w:rsidRPr="003D6611">
        <w:rPr>
          <w:rFonts w:ascii="Open Sans Light" w:hAnsi="Open Sans Light" w:cs="Open Sans Light"/>
        </w:rPr>
        <w:t xml:space="preserve">che </w:t>
      </w:r>
      <w:r w:rsidRPr="003D6611">
        <w:rPr>
          <w:rFonts w:ascii="Open Sans Light" w:hAnsi="Open Sans Light" w:cs="Open Sans Light"/>
        </w:rPr>
        <w:t xml:space="preserve">dovessero essere emanati successivamente alla pubblicazione del presente documento illustrativo, nonché di nuovi indirizzi interpretativi eventualmente emergenti. </w:t>
      </w:r>
    </w:p>
    <w:p w14:paraId="78A040C8" w14:textId="77777777" w:rsidR="00C97862" w:rsidRPr="006558FF" w:rsidRDefault="00C97862" w:rsidP="00822543">
      <w:pPr>
        <w:spacing w:line="240" w:lineRule="auto"/>
        <w:ind w:left="0" w:right="53" w:firstLine="698"/>
        <w:rPr>
          <w:rFonts w:ascii="Open Sans Light" w:eastAsiaTheme="minorEastAsia" w:hAnsi="Open Sans Light" w:cs="Open Sans Light"/>
          <w:szCs w:val="24"/>
        </w:rPr>
      </w:pPr>
    </w:p>
    <w:p w14:paraId="766534C6" w14:textId="43A0563F" w:rsidR="00AE6CC4" w:rsidRPr="00BF5452" w:rsidRDefault="00B469FC" w:rsidP="0017512A">
      <w:pPr>
        <w:pStyle w:val="Titolo1"/>
        <w:ind w:left="0" w:firstLine="0"/>
        <w:rPr>
          <w:rFonts w:asciiTheme="minorHAnsi" w:hAnsiTheme="minorHAnsi" w:cstheme="minorHAnsi"/>
          <w:b/>
        </w:rPr>
      </w:pPr>
      <w:bookmarkStart w:id="33" w:name="_Toc152582347"/>
      <w:r w:rsidRPr="0017512A">
        <w:rPr>
          <w:rFonts w:asciiTheme="minorHAnsi" w:hAnsiTheme="minorHAnsi" w:cstheme="minorHAnsi"/>
          <w:b/>
          <w:u w:val="none"/>
        </w:rPr>
        <w:t>ALLEGATI</w:t>
      </w:r>
      <w:r w:rsidR="003421C0">
        <w:rPr>
          <w:rFonts w:asciiTheme="minorHAnsi" w:hAnsiTheme="minorHAnsi" w:cstheme="minorHAnsi"/>
          <w:b/>
          <w:u w:val="none"/>
        </w:rPr>
        <w:t xml:space="preserve"> – Strumenti per la verifica DNSH per le Misure della </w:t>
      </w:r>
      <w:r w:rsidR="00D61793">
        <w:rPr>
          <w:rFonts w:asciiTheme="minorHAnsi" w:hAnsiTheme="minorHAnsi" w:cstheme="minorHAnsi"/>
          <w:b/>
          <w:u w:val="none"/>
        </w:rPr>
        <w:t xml:space="preserve">Missione </w:t>
      </w:r>
      <w:r w:rsidR="00870B95">
        <w:rPr>
          <w:rFonts w:asciiTheme="minorHAnsi" w:hAnsiTheme="minorHAnsi" w:cstheme="minorHAnsi"/>
          <w:b/>
          <w:u w:val="none"/>
        </w:rPr>
        <w:t>2</w:t>
      </w:r>
      <w:r w:rsidR="00D61793">
        <w:rPr>
          <w:rFonts w:asciiTheme="minorHAnsi" w:hAnsiTheme="minorHAnsi" w:cstheme="minorHAnsi"/>
          <w:b/>
          <w:u w:val="none"/>
        </w:rPr>
        <w:t xml:space="preserve"> - </w:t>
      </w:r>
      <w:r w:rsidR="00611B42" w:rsidRPr="00611B42">
        <w:rPr>
          <w:rFonts w:asciiTheme="minorHAnsi" w:hAnsiTheme="minorHAnsi" w:cstheme="minorHAnsi"/>
          <w:b/>
          <w:u w:val="none"/>
        </w:rPr>
        <w:t>Costruzione di edifici, riqualificazione e rafforzamento del patrimonio immobiliare dell’amministrazione della giustizia</w:t>
      </w:r>
      <w:bookmarkEnd w:id="33"/>
    </w:p>
    <w:p w14:paraId="23D3F967" w14:textId="585C0F30" w:rsidR="00EB2E86" w:rsidRPr="00466C51" w:rsidRDefault="00A561CB" w:rsidP="00466C51">
      <w:pPr>
        <w:pStyle w:val="Paragrafoelenco"/>
        <w:numPr>
          <w:ilvl w:val="0"/>
          <w:numId w:val="20"/>
        </w:numPr>
        <w:spacing w:after="121" w:line="276" w:lineRule="auto"/>
        <w:ind w:right="60"/>
        <w:outlineLvl w:val="2"/>
        <w:rPr>
          <w:rFonts w:asciiTheme="minorHAnsi" w:hAnsiTheme="minorHAnsi" w:cstheme="minorHAnsi"/>
          <w:iCs/>
        </w:rPr>
      </w:pPr>
      <w:bookmarkStart w:id="34" w:name="_Toc152582348"/>
      <w:r>
        <w:rPr>
          <w:rFonts w:asciiTheme="minorHAnsi" w:hAnsiTheme="minorHAnsi" w:cstheme="minorHAnsi"/>
          <w:iCs/>
        </w:rPr>
        <w:t xml:space="preserve">Allegato I - </w:t>
      </w:r>
      <w:r w:rsidR="0050687D" w:rsidRPr="00A561CB">
        <w:rPr>
          <w:rFonts w:asciiTheme="minorHAnsi" w:hAnsiTheme="minorHAnsi" w:cstheme="minorHAnsi"/>
          <w:iCs/>
        </w:rPr>
        <w:t xml:space="preserve">Schede tecniche </w:t>
      </w:r>
      <w:r w:rsidR="003421C0">
        <w:rPr>
          <w:rFonts w:asciiTheme="minorHAnsi" w:hAnsiTheme="minorHAnsi" w:cstheme="minorHAnsi"/>
          <w:iCs/>
        </w:rPr>
        <w:t>(</w:t>
      </w:r>
      <w:r w:rsidR="00D61793">
        <w:rPr>
          <w:rFonts w:asciiTheme="minorHAnsi" w:hAnsiTheme="minorHAnsi" w:cstheme="minorHAnsi"/>
          <w:iCs/>
        </w:rPr>
        <w:t xml:space="preserve">Missione </w:t>
      </w:r>
      <w:r w:rsidR="000C452C">
        <w:rPr>
          <w:rFonts w:asciiTheme="minorHAnsi" w:hAnsiTheme="minorHAnsi" w:cstheme="minorHAnsi"/>
          <w:iCs/>
        </w:rPr>
        <w:t>2</w:t>
      </w:r>
      <w:r w:rsidR="00D61793">
        <w:rPr>
          <w:rFonts w:asciiTheme="minorHAnsi" w:hAnsiTheme="minorHAnsi" w:cstheme="minorHAnsi"/>
          <w:iCs/>
        </w:rPr>
        <w:t xml:space="preserve"> -</w:t>
      </w:r>
      <w:r w:rsidR="000C452C" w:rsidRPr="000C452C">
        <w:t xml:space="preserve"> </w:t>
      </w:r>
      <w:r w:rsidR="000C452C" w:rsidRPr="000C452C">
        <w:rPr>
          <w:rFonts w:asciiTheme="minorHAnsi" w:hAnsiTheme="minorHAnsi" w:cstheme="minorHAnsi"/>
          <w:iCs/>
        </w:rPr>
        <w:t>Costruzione di edifici, riqualificazione e rafforzamento del patrimonio immobiliare dell’amministrazione della giustizia</w:t>
      </w:r>
      <w:r w:rsidR="003421C0">
        <w:rPr>
          <w:rFonts w:asciiTheme="minorHAnsi" w:hAnsiTheme="minorHAnsi" w:cstheme="minorHAnsi"/>
          <w:iCs/>
        </w:rPr>
        <w:t>)</w:t>
      </w:r>
      <w:bookmarkEnd w:id="34"/>
    </w:p>
    <w:sectPr w:rsidR="00EB2E86" w:rsidRPr="00466C51" w:rsidSect="001C3140">
      <w:headerReference w:type="even" r:id="rId12"/>
      <w:headerReference w:type="default" r:id="rId13"/>
      <w:footerReference w:type="even" r:id="rId14"/>
      <w:footerReference w:type="default" r:id="rId15"/>
      <w:headerReference w:type="first" r:id="rId16"/>
      <w:footerReference w:type="first" r:id="rId17"/>
      <w:pgSz w:w="11906" w:h="16838"/>
      <w:pgMar w:top="1985" w:right="671" w:bottom="1492" w:left="706" w:header="708"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D917F" w14:textId="77777777" w:rsidR="00DA2E8B" w:rsidRDefault="00DA2E8B">
      <w:pPr>
        <w:spacing w:after="0" w:line="240" w:lineRule="auto"/>
      </w:pPr>
      <w:r>
        <w:separator/>
      </w:r>
    </w:p>
  </w:endnote>
  <w:endnote w:type="continuationSeparator" w:id="0">
    <w:p w14:paraId="3F9C492C" w14:textId="77777777" w:rsidR="00DA2E8B" w:rsidRDefault="00DA2E8B">
      <w:pPr>
        <w:spacing w:after="0" w:line="240" w:lineRule="auto"/>
      </w:pPr>
      <w:r>
        <w:continuationSeparator/>
      </w:r>
    </w:p>
  </w:endnote>
  <w:endnote w:type="continuationNotice" w:id="1">
    <w:p w14:paraId="1B60F393" w14:textId="77777777" w:rsidR="00DA2E8B" w:rsidRDefault="00DA2E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Light">
    <w:charset w:val="00"/>
    <w:family w:val="swiss"/>
    <w:pitch w:val="variable"/>
    <w:sig w:usb0="E00002EF" w:usb1="4000205B" w:usb2="00000028"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80E11" w14:textId="77777777" w:rsidR="00AA35B4" w:rsidRDefault="00107A22">
    <w:pPr>
      <w:spacing w:after="0" w:line="259" w:lineRule="auto"/>
      <w:ind w:left="0" w:right="461" w:firstLine="0"/>
      <w:jc w:val="right"/>
    </w:pPr>
    <w:r>
      <w:fldChar w:fldCharType="begin"/>
    </w:r>
    <w:r>
      <w:instrText xml:space="preserve"> PAGE   \* MERGEFORMAT </w:instrText>
    </w:r>
    <w:r>
      <w:fldChar w:fldCharType="separate"/>
    </w:r>
    <w:r>
      <w:t>1</w:t>
    </w:r>
    <w:r>
      <w:fldChar w:fldCharType="end"/>
    </w:r>
    <w:r>
      <w:t xml:space="preserve"> </w:t>
    </w:r>
  </w:p>
  <w:p w14:paraId="1D9077D2" w14:textId="77777777" w:rsidR="00AA35B4" w:rsidRDefault="00107A22">
    <w:pPr>
      <w:spacing w:after="0" w:line="259" w:lineRule="auto"/>
      <w:ind w:left="427"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4985531"/>
      <w:docPartObj>
        <w:docPartGallery w:val="Page Numbers (Bottom of Page)"/>
        <w:docPartUnique/>
      </w:docPartObj>
    </w:sdtPr>
    <w:sdtContent>
      <w:p w14:paraId="262C23D6" w14:textId="686B3D69" w:rsidR="00466C51" w:rsidRDefault="00466C51">
        <w:pPr>
          <w:pStyle w:val="Pidipagina"/>
          <w:jc w:val="center"/>
        </w:pPr>
        <w:r>
          <w:fldChar w:fldCharType="begin"/>
        </w:r>
        <w:r>
          <w:instrText>PAGE   \* MERGEFORMAT</w:instrText>
        </w:r>
        <w:r>
          <w:fldChar w:fldCharType="separate"/>
        </w:r>
        <w:r>
          <w:t>2</w:t>
        </w:r>
        <w:r>
          <w:fldChar w:fldCharType="end"/>
        </w:r>
      </w:p>
    </w:sdtContent>
  </w:sdt>
  <w:p w14:paraId="797D3C52" w14:textId="4C63A65C" w:rsidR="00AA35B4" w:rsidRDefault="00AA35B4" w:rsidP="00165D8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82BEF" w14:textId="77777777" w:rsidR="00AA35B4" w:rsidRDefault="00107A22">
    <w:pPr>
      <w:spacing w:after="0" w:line="259" w:lineRule="auto"/>
      <w:ind w:left="0" w:right="461" w:firstLine="0"/>
      <w:jc w:val="right"/>
    </w:pPr>
    <w:r>
      <w:fldChar w:fldCharType="begin"/>
    </w:r>
    <w:r>
      <w:instrText xml:space="preserve"> PAGE   \* MERGEFORMAT </w:instrText>
    </w:r>
    <w:r>
      <w:fldChar w:fldCharType="separate"/>
    </w:r>
    <w:r>
      <w:t>1</w:t>
    </w:r>
    <w:r>
      <w:fldChar w:fldCharType="end"/>
    </w:r>
    <w:r>
      <w:t xml:space="preserve"> </w:t>
    </w:r>
  </w:p>
  <w:p w14:paraId="36EA2E77" w14:textId="77777777" w:rsidR="00AA35B4" w:rsidRDefault="00107A22">
    <w:pPr>
      <w:spacing w:after="0" w:line="259" w:lineRule="auto"/>
      <w:ind w:left="427"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D9E5A" w14:textId="77777777" w:rsidR="00DA2E8B" w:rsidRDefault="00DA2E8B">
      <w:pPr>
        <w:spacing w:after="0" w:line="240" w:lineRule="auto"/>
      </w:pPr>
      <w:r>
        <w:separator/>
      </w:r>
    </w:p>
  </w:footnote>
  <w:footnote w:type="continuationSeparator" w:id="0">
    <w:p w14:paraId="5622E48D" w14:textId="77777777" w:rsidR="00DA2E8B" w:rsidRDefault="00DA2E8B">
      <w:pPr>
        <w:spacing w:after="0" w:line="240" w:lineRule="auto"/>
      </w:pPr>
      <w:r>
        <w:continuationSeparator/>
      </w:r>
    </w:p>
  </w:footnote>
  <w:footnote w:type="continuationNotice" w:id="1">
    <w:p w14:paraId="03BE0F54" w14:textId="77777777" w:rsidR="00DA2E8B" w:rsidRDefault="00DA2E8B">
      <w:pPr>
        <w:spacing w:after="0" w:line="240" w:lineRule="auto"/>
      </w:pPr>
    </w:p>
  </w:footnote>
  <w:footnote w:id="2">
    <w:p w14:paraId="0993CBD4" w14:textId="77777777" w:rsidR="00F72E5A" w:rsidRPr="00076542" w:rsidRDefault="00F72E5A" w:rsidP="00F72E5A">
      <w:pPr>
        <w:pStyle w:val="Testonotaapidipagina"/>
        <w:rPr>
          <w:rFonts w:ascii="Arial" w:hAnsi="Arial" w:cs="Arial"/>
        </w:rPr>
      </w:pPr>
      <w:r w:rsidRPr="00F72E5A">
        <w:rPr>
          <w:rFonts w:ascii="Open Sans Light" w:hAnsi="Open Sans Light" w:cs="Open Sans Light"/>
          <w:iCs/>
          <w:sz w:val="16"/>
          <w:szCs w:val="16"/>
        </w:rPr>
        <w:footnoteRef/>
      </w:r>
      <w:r w:rsidRPr="00F72E5A">
        <w:rPr>
          <w:rFonts w:ascii="Open Sans Light" w:hAnsi="Open Sans Light" w:cs="Open Sans Light"/>
          <w:iCs/>
          <w:sz w:val="16"/>
          <w:szCs w:val="16"/>
        </w:rPr>
        <w:t xml:space="preserve"> Le schede DNSH possono essere consultate per missione e componente sul sito italiadomani.gov.it (</w:t>
      </w:r>
      <w:hyperlink r:id="rId1" w:history="1">
        <w:r w:rsidRPr="00F72E5A">
          <w:rPr>
            <w:rFonts w:ascii="Open Sans Light" w:hAnsi="Open Sans Light" w:cs="Open Sans Light"/>
            <w:sz w:val="16"/>
            <w:szCs w:val="16"/>
          </w:rPr>
          <w:t>https://italiadomani.gov.it/it/Interventi/dnsh.html</w:t>
        </w:r>
      </w:hyperlink>
      <w:r w:rsidRPr="00F72E5A">
        <w:rPr>
          <w:rFonts w:ascii="Open Sans Light" w:hAnsi="Open Sans Light" w:cs="Open Sans Light"/>
          <w:iCs/>
          <w:sz w:val="16"/>
          <w:szCs w:val="16"/>
        </w:rPr>
        <w:t>).</w:t>
      </w:r>
    </w:p>
  </w:footnote>
  <w:footnote w:id="3">
    <w:p w14:paraId="3B9875DF" w14:textId="7258FE3E" w:rsidR="00825A8B" w:rsidRPr="003663B2" w:rsidRDefault="00825A8B">
      <w:pPr>
        <w:pStyle w:val="Testonotaapidipagina"/>
        <w:rPr>
          <w:rFonts w:ascii="Open Sans Light" w:hAnsi="Open Sans Light" w:cs="Open Sans Light"/>
        </w:rPr>
      </w:pPr>
      <w:r w:rsidRPr="003663B2">
        <w:rPr>
          <w:rStyle w:val="Rimandonotaapidipagina"/>
          <w:rFonts w:ascii="Open Sans Light" w:hAnsi="Open Sans Light" w:cs="Open Sans Light"/>
          <w:sz w:val="16"/>
          <w:szCs w:val="16"/>
        </w:rPr>
        <w:footnoteRef/>
      </w:r>
      <w:r w:rsidRPr="003663B2">
        <w:rPr>
          <w:rFonts w:ascii="Open Sans Light" w:hAnsi="Open Sans Light" w:cs="Open Sans Light"/>
          <w:sz w:val="16"/>
          <w:szCs w:val="16"/>
        </w:rPr>
        <w:t xml:space="preserve"> Il Vademecum di Fondazione IFEL fornisce spunti e riferimenti metodologici e applicativi per rispettare quanto contenuto nella Guida operativa del MEF per il rispetto del principio DNSH. Il Vademecum è consultabile al seguente link: https://www.fondazioneifel.it/ifelinforma-news/item/11324-supporto-all-applicazione-del-principiodnsh-nei-comuni-il-vademecum-ifel.</w:t>
      </w:r>
    </w:p>
  </w:footnote>
  <w:footnote w:id="4">
    <w:p w14:paraId="68CA9713" w14:textId="0A3D81B8" w:rsidR="00005C36" w:rsidRPr="001F1A04" w:rsidRDefault="00005C36" w:rsidP="00005C36">
      <w:pPr>
        <w:pStyle w:val="Testonotaapidipagina"/>
        <w:rPr>
          <w:rFonts w:ascii="Open Sans Light" w:hAnsi="Open Sans Light" w:cs="Open Sans Light"/>
          <w:sz w:val="16"/>
          <w:szCs w:val="16"/>
        </w:rPr>
      </w:pPr>
      <w:r w:rsidRPr="001F1A04">
        <w:rPr>
          <w:rStyle w:val="Rimandonotaapidipagina"/>
          <w:rFonts w:ascii="Open Sans Light" w:hAnsi="Open Sans Light" w:cs="Open Sans Light"/>
          <w:sz w:val="16"/>
          <w:szCs w:val="16"/>
        </w:rPr>
        <w:footnoteRef/>
      </w:r>
      <w:r w:rsidRPr="001F1A04">
        <w:rPr>
          <w:rFonts w:ascii="Open Sans Light" w:hAnsi="Open Sans Light" w:cs="Open Sans Light"/>
          <w:sz w:val="16"/>
          <w:szCs w:val="16"/>
        </w:rPr>
        <w:t xml:space="preserve"> Circolare del Ministero dell'Economia e delle Finanze - Dipartimento della Ragioneria Generale dello Stato del 30.12.2021, n. 32, sopra richiamata (</w:t>
      </w:r>
      <w:r w:rsidR="007335A2" w:rsidRPr="00E404C2">
        <w:rPr>
          <w:rFonts w:ascii="Open Sans Light" w:hAnsi="Open Sans Light" w:cs="Open Sans Light"/>
          <w:sz w:val="16"/>
          <w:szCs w:val="16"/>
        </w:rPr>
        <w:t>https://www.rgs.mef.gov.it/VERSIONE-I/circolari/2021/circolare_n_32_2021/</w:t>
      </w:r>
      <w:r w:rsidRPr="001F1A04">
        <w:rPr>
          <w:rFonts w:ascii="Open Sans Light" w:hAnsi="Open Sans Light" w:cs="Open Sans Light"/>
          <w:sz w:val="16"/>
          <w:szCs w:val="16"/>
        </w:rPr>
        <w:t>).</w:t>
      </w:r>
    </w:p>
  </w:footnote>
  <w:footnote w:id="5">
    <w:p w14:paraId="3F12A3B2" w14:textId="74A61E72" w:rsidR="00005C36" w:rsidRDefault="00005C36" w:rsidP="00005C36">
      <w:pPr>
        <w:pStyle w:val="Testonotaapidipagina"/>
      </w:pPr>
      <w:r w:rsidRPr="001F1A04">
        <w:rPr>
          <w:rStyle w:val="Rimandonotaapidipagina"/>
          <w:rFonts w:ascii="Open Sans Light" w:hAnsi="Open Sans Light" w:cs="Open Sans Light"/>
          <w:sz w:val="16"/>
          <w:szCs w:val="16"/>
        </w:rPr>
        <w:footnoteRef/>
      </w:r>
      <w:r w:rsidRPr="001F1A04">
        <w:rPr>
          <w:rFonts w:ascii="Open Sans Light" w:hAnsi="Open Sans Light" w:cs="Open Sans Light"/>
          <w:sz w:val="16"/>
          <w:szCs w:val="16"/>
        </w:rPr>
        <w:t xml:space="preserve"> Circolare del Ministero dell’Economia e delle Finanze – Dipartimento della Ragioneria Generale dello Stato del 13.10.2022, n. 33, sopra richiamata (</w:t>
      </w:r>
      <w:r w:rsidR="006B26DC" w:rsidRPr="00E404C2">
        <w:rPr>
          <w:rFonts w:ascii="Open Sans Light" w:hAnsi="Open Sans Light" w:cs="Open Sans Light"/>
          <w:sz w:val="16"/>
          <w:szCs w:val="16"/>
        </w:rPr>
        <w:t>https://www.rgs.mef.gov.it/VERSIONE-I/circolari/2022/circolare_n_33_2022/index.html</w:t>
      </w:r>
      <w:r w:rsidRPr="001F1A04">
        <w:rPr>
          <w:rFonts w:ascii="Open Sans Light" w:hAnsi="Open Sans Light" w:cs="Open Sans Light"/>
          <w:sz w:val="16"/>
          <w:szCs w:val="16"/>
        </w:rPr>
        <w:t>).</w:t>
      </w:r>
    </w:p>
  </w:footnote>
  <w:footnote w:id="6">
    <w:p w14:paraId="3B644F05" w14:textId="3FBCB286" w:rsidR="00005C36" w:rsidRPr="00586F49" w:rsidRDefault="00005C36" w:rsidP="001E57E9">
      <w:pPr>
        <w:pStyle w:val="Testonotaapidipagina"/>
        <w:ind w:left="0" w:firstLine="0"/>
        <w:rPr>
          <w:rFonts w:ascii="Open Sans Light" w:hAnsi="Open Sans Light" w:cs="Open Sans Light"/>
          <w:sz w:val="16"/>
          <w:szCs w:val="16"/>
        </w:rPr>
      </w:pPr>
    </w:p>
  </w:footnote>
  <w:footnote w:id="7">
    <w:p w14:paraId="20509F95" w14:textId="23EAFADE" w:rsidR="004638C9" w:rsidRPr="00E404C2" w:rsidRDefault="004638C9" w:rsidP="004638C9">
      <w:pPr>
        <w:pStyle w:val="Testonotaapidipagina"/>
        <w:rPr>
          <w:rFonts w:ascii="Open Sans Light" w:hAnsi="Open Sans Light" w:cs="Open Sans Light"/>
          <w:sz w:val="16"/>
          <w:szCs w:val="16"/>
        </w:rPr>
      </w:pPr>
      <w:r>
        <w:rPr>
          <w:rStyle w:val="Rimandonotaapidipagina"/>
        </w:rPr>
        <w:footnoteRef/>
      </w:r>
      <w:r>
        <w:t xml:space="preserve"> </w:t>
      </w:r>
      <w:r w:rsidR="00C63E77" w:rsidRPr="001F1A04">
        <w:rPr>
          <w:rFonts w:ascii="Open Sans Light" w:hAnsi="Open Sans Light" w:cs="Open Sans Light"/>
          <w:sz w:val="16"/>
          <w:szCs w:val="16"/>
        </w:rPr>
        <w:t>Circolare del Ministero dell'Economia e delle Finanze - Dipartimento della Ragioneria Generale dello Stato del</w:t>
      </w:r>
      <w:r w:rsidR="00C63E77">
        <w:rPr>
          <w:rFonts w:ascii="Open Sans Light" w:hAnsi="Open Sans Light" w:cs="Open Sans Light"/>
          <w:sz w:val="16"/>
          <w:szCs w:val="16"/>
        </w:rPr>
        <w:t>l’11.08.</w:t>
      </w:r>
      <w:r w:rsidR="00C63E77" w:rsidRPr="001F1A04">
        <w:rPr>
          <w:rFonts w:ascii="Open Sans Light" w:hAnsi="Open Sans Light" w:cs="Open Sans Light"/>
          <w:sz w:val="16"/>
          <w:szCs w:val="16"/>
        </w:rPr>
        <w:t>202</w:t>
      </w:r>
      <w:r w:rsidR="00C63E77">
        <w:rPr>
          <w:rFonts w:ascii="Open Sans Light" w:hAnsi="Open Sans Light" w:cs="Open Sans Light"/>
          <w:sz w:val="16"/>
          <w:szCs w:val="16"/>
        </w:rPr>
        <w:t>2</w:t>
      </w:r>
      <w:r w:rsidR="00C63E77" w:rsidRPr="001F1A04">
        <w:rPr>
          <w:rFonts w:ascii="Open Sans Light" w:hAnsi="Open Sans Light" w:cs="Open Sans Light"/>
          <w:sz w:val="16"/>
          <w:szCs w:val="16"/>
        </w:rPr>
        <w:t>, n. 32</w:t>
      </w:r>
      <w:r w:rsidR="00C63E77">
        <w:rPr>
          <w:rFonts w:ascii="Open Sans Light" w:hAnsi="Open Sans Light" w:cs="Open Sans Light"/>
          <w:sz w:val="16"/>
          <w:szCs w:val="16"/>
        </w:rPr>
        <w:t xml:space="preserve"> -</w:t>
      </w:r>
      <w:r w:rsidR="008C482E">
        <w:rPr>
          <w:rFonts w:ascii="Open Sans Light" w:hAnsi="Open Sans Light" w:cs="Open Sans Light"/>
          <w:sz w:val="16"/>
          <w:szCs w:val="16"/>
        </w:rPr>
        <w:t xml:space="preserve"> </w:t>
      </w:r>
      <w:r w:rsidR="00C63E77" w:rsidRPr="00F37A57">
        <w:rPr>
          <w:rFonts w:ascii="Open Sans Light" w:hAnsi="Open Sans Light" w:cs="Open Sans Light"/>
          <w:sz w:val="16"/>
          <w:szCs w:val="16"/>
        </w:rPr>
        <w:t>Circolare sulle procedure di controllo e rendicontazione delle misure PNRR</w:t>
      </w:r>
      <w:r w:rsidR="00C63E77">
        <w:t xml:space="preserve"> </w:t>
      </w:r>
      <w:r w:rsidR="00C63E77" w:rsidRPr="00E404C2">
        <w:rPr>
          <w:rFonts w:ascii="Open Sans Light" w:hAnsi="Open Sans Light" w:cs="Open Sans Light"/>
          <w:sz w:val="16"/>
          <w:szCs w:val="16"/>
        </w:rPr>
        <w:t>(</w:t>
      </w:r>
      <w:r w:rsidR="00360C17" w:rsidRPr="00E404C2">
        <w:rPr>
          <w:rFonts w:ascii="Open Sans Light" w:hAnsi="Open Sans Light" w:cs="Open Sans Light"/>
          <w:sz w:val="16"/>
          <w:szCs w:val="16"/>
        </w:rPr>
        <w:t>https://www.rgs.mef.gov.it/VERSIONE-I/circolari/2022/circolare_n_30_2022/</w:t>
      </w:r>
      <w:r w:rsidR="00C63E77" w:rsidRPr="00E404C2">
        <w:rPr>
          <w:rFonts w:ascii="Open Sans Light" w:hAnsi="Open Sans Light" w:cs="Open Sans Light"/>
          <w:sz w:val="16"/>
          <w:szCs w:val="16"/>
        </w:rPr>
        <w:t>)</w:t>
      </w:r>
    </w:p>
  </w:footnote>
  <w:footnote w:id="8">
    <w:p w14:paraId="55E038C4" w14:textId="04558577" w:rsidR="00BF42B1" w:rsidRDefault="00BF42B1">
      <w:pPr>
        <w:pStyle w:val="Testonotaapidipagina"/>
      </w:pPr>
      <w:r>
        <w:rPr>
          <w:rStyle w:val="Rimandonotaapidipagina"/>
        </w:rPr>
        <w:footnoteRef/>
      </w:r>
      <w:r>
        <w:t xml:space="preserve"> </w:t>
      </w:r>
      <w:proofErr w:type="spellStart"/>
      <w:r w:rsidRPr="002035A8">
        <w:t>Council</w:t>
      </w:r>
      <w:proofErr w:type="spellEnd"/>
      <w:r w:rsidRPr="002035A8">
        <w:t xml:space="preserve"> </w:t>
      </w:r>
      <w:proofErr w:type="spellStart"/>
      <w:r w:rsidRPr="002035A8">
        <w:t>Implementing</w:t>
      </w:r>
      <w:proofErr w:type="spellEnd"/>
      <w:r w:rsidRPr="002035A8">
        <w:t xml:space="preserve"> </w:t>
      </w:r>
      <w:proofErr w:type="spellStart"/>
      <w:r w:rsidRPr="002035A8">
        <w:t>Decision</w:t>
      </w:r>
      <w:proofErr w:type="spellEnd"/>
      <w:r w:rsidRPr="002035A8">
        <w:t xml:space="preserve"> (CID) decisione di esecuzione del Consiglio del 13 </w:t>
      </w:r>
      <w:proofErr w:type="gramStart"/>
      <w:r w:rsidRPr="002035A8">
        <w:t>Luglio</w:t>
      </w:r>
      <w:proofErr w:type="gramEnd"/>
      <w:r w:rsidRPr="002035A8">
        <w:t xml:space="preserve"> 2021 che approva il PNRR dell’Italia.</w:t>
      </w:r>
    </w:p>
  </w:footnote>
  <w:footnote w:id="9">
    <w:p w14:paraId="1B804D3E" w14:textId="36DCDD8D" w:rsidR="00DE36BB" w:rsidRDefault="00DE36BB" w:rsidP="00C61608">
      <w:pPr>
        <w:pStyle w:val="Testonotaapidipagina"/>
      </w:pPr>
      <w:r>
        <w:rPr>
          <w:rStyle w:val="Rimandonotaapidipagina"/>
        </w:rPr>
        <w:footnoteRef/>
      </w:r>
      <w:r>
        <w:t xml:space="preserve"> </w:t>
      </w:r>
      <w:proofErr w:type="spellStart"/>
      <w:r w:rsidRPr="002035A8">
        <w:t>Operational</w:t>
      </w:r>
      <w:proofErr w:type="spellEnd"/>
      <w:r w:rsidRPr="002035A8">
        <w:t xml:space="preserve"> </w:t>
      </w:r>
      <w:proofErr w:type="spellStart"/>
      <w:r w:rsidRPr="002035A8">
        <w:t>Arrangements</w:t>
      </w:r>
      <w:proofErr w:type="spellEnd"/>
      <w:r w:rsidRPr="002035A8">
        <w:t xml:space="preserve"> (OA) Accordi Operativi - con i quali sono stabiliti i meccanismi di verifica periodica (validi fino al 2026) relativi al conseguimento di tutti i traguardi e gli obiettivi (Milestone e Target) necessari per il riconoscimento delle rate di rimborso semestrali delle risorse PNRR.</w:t>
      </w:r>
    </w:p>
  </w:footnote>
  <w:footnote w:id="10">
    <w:p w14:paraId="79A06BFF" w14:textId="77777777" w:rsidR="000D2831" w:rsidRDefault="000D2831" w:rsidP="000D2831">
      <w:pPr>
        <w:pStyle w:val="Testonotaapidipagina"/>
      </w:pPr>
      <w:r>
        <w:rPr>
          <w:rStyle w:val="Rimandonotaapidipagina"/>
        </w:rPr>
        <w:footnoteRef/>
      </w:r>
      <w:r>
        <w:t xml:space="preserve"> Consultabile al seguente link: https://www.fondazioneifel.it/ifelinforma-news/item/11324-supporto-all-applicazione-del-principiodnsh-nei-comuni-il-vademecum-ifel</w:t>
      </w:r>
    </w:p>
  </w:footnote>
  <w:footnote w:id="11">
    <w:p w14:paraId="503E057E" w14:textId="205F0765" w:rsidR="00FC30BC" w:rsidRDefault="00FC30BC">
      <w:pPr>
        <w:pStyle w:val="Testonotaapidipagina"/>
      </w:pPr>
      <w:r>
        <w:rPr>
          <w:rStyle w:val="Rimandonotaapidipagina"/>
        </w:rPr>
        <w:footnoteRef/>
      </w:r>
      <w:r>
        <w:t xml:space="preserve"> </w:t>
      </w:r>
      <w:r w:rsidRPr="0079708A">
        <w:rPr>
          <w:rFonts w:asciiTheme="minorHAnsi" w:hAnsiTheme="minorHAnsi" w:cstheme="minorHAnsi"/>
        </w:rPr>
        <w:t>Il Regolamento 2021/241 stabilisce all’art. 17 che sono ammissibili tutte le misure avviate a decorrere dal 1° febbraio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FB4F3" w14:textId="77777777" w:rsidR="00AA35B4" w:rsidRDefault="00107A22">
    <w:pPr>
      <w:spacing w:after="0" w:line="259" w:lineRule="auto"/>
      <w:ind w:left="0" w:right="413" w:firstLine="0"/>
      <w:jc w:val="right"/>
    </w:pPr>
    <w:r>
      <w:rPr>
        <w:noProof/>
      </w:rPr>
      <w:drawing>
        <wp:anchor distT="0" distB="0" distL="114300" distR="114300" simplePos="0" relativeHeight="251658240" behindDoc="0" locked="0" layoutInCell="1" allowOverlap="0" wp14:anchorId="7435C250" wp14:editId="4D6C758A">
          <wp:simplePos x="0" y="0"/>
          <wp:positionH relativeFrom="page">
            <wp:posOffset>720090</wp:posOffset>
          </wp:positionH>
          <wp:positionV relativeFrom="page">
            <wp:posOffset>525780</wp:posOffset>
          </wp:positionV>
          <wp:extent cx="1365885" cy="434213"/>
          <wp:effectExtent l="0" t="0" r="0" b="0"/>
          <wp:wrapSquare wrapText="bothSides"/>
          <wp:docPr id="12" name="Picture 12"/>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1365885" cy="434213"/>
                  </a:xfrm>
                  <a:prstGeom prst="rect">
                    <a:avLst/>
                  </a:prstGeom>
                </pic:spPr>
              </pic:pic>
            </a:graphicData>
          </a:graphic>
        </wp:anchor>
      </w:drawing>
    </w:r>
    <w:r>
      <w:rPr>
        <w:noProof/>
      </w:rPr>
      <w:drawing>
        <wp:anchor distT="0" distB="0" distL="114300" distR="114300" simplePos="0" relativeHeight="251658241" behindDoc="0" locked="0" layoutInCell="1" allowOverlap="0" wp14:anchorId="54E62059" wp14:editId="1B73E1C8">
          <wp:simplePos x="0" y="0"/>
          <wp:positionH relativeFrom="page">
            <wp:posOffset>3053461</wp:posOffset>
          </wp:positionH>
          <wp:positionV relativeFrom="page">
            <wp:posOffset>468655</wp:posOffset>
          </wp:positionV>
          <wp:extent cx="1453515" cy="487528"/>
          <wp:effectExtent l="0" t="0" r="0" b="0"/>
          <wp:wrapSquare wrapText="bothSides"/>
          <wp:docPr id="14" name="Picture 14"/>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2"/>
                  <a:stretch>
                    <a:fillRect/>
                  </a:stretch>
                </pic:blipFill>
                <pic:spPr>
                  <a:xfrm>
                    <a:off x="0" y="0"/>
                    <a:ext cx="1453515" cy="487528"/>
                  </a:xfrm>
                  <a:prstGeom prst="rect">
                    <a:avLst/>
                  </a:prstGeom>
                </pic:spPr>
              </pic:pic>
            </a:graphicData>
          </a:graphic>
        </wp:anchor>
      </w:drawing>
    </w:r>
    <w:r>
      <w:rPr>
        <w:noProof/>
      </w:rPr>
      <w:drawing>
        <wp:anchor distT="0" distB="0" distL="114300" distR="114300" simplePos="0" relativeHeight="251658242" behindDoc="0" locked="0" layoutInCell="1" allowOverlap="0" wp14:anchorId="47A97B44" wp14:editId="4BEAAFBA">
          <wp:simplePos x="0" y="0"/>
          <wp:positionH relativeFrom="page">
            <wp:posOffset>5544185</wp:posOffset>
          </wp:positionH>
          <wp:positionV relativeFrom="page">
            <wp:posOffset>449541</wp:posOffset>
          </wp:positionV>
          <wp:extent cx="1296035" cy="510451"/>
          <wp:effectExtent l="0" t="0" r="0" b="0"/>
          <wp:wrapSquare wrapText="bothSides"/>
          <wp:docPr id="16" name="Picture 16"/>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3"/>
                  <a:stretch>
                    <a:fillRect/>
                  </a:stretch>
                </pic:blipFill>
                <pic:spPr>
                  <a:xfrm>
                    <a:off x="0" y="0"/>
                    <a:ext cx="1296035" cy="510451"/>
                  </a:xfrm>
                  <a:prstGeom prst="rect">
                    <a:avLst/>
                  </a:prstGeom>
                </pic:spPr>
              </pic:pic>
            </a:graphicData>
          </a:graphic>
        </wp:anchor>
      </w:drawing>
    </w:r>
    <w:r>
      <w:t xml:space="preserve"> </w:t>
    </w:r>
    <w:r>
      <w:tab/>
      <w:t xml:space="preserve"> </w:t>
    </w:r>
    <w: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AF0E3" w14:textId="63A0F5DB" w:rsidR="00AA35B4" w:rsidRDefault="0049439F" w:rsidP="00D61793">
    <w:pPr>
      <w:spacing w:after="0" w:line="259" w:lineRule="auto"/>
      <w:ind w:left="0" w:right="413" w:firstLine="0"/>
      <w:jc w:val="center"/>
    </w:pPr>
    <w:r w:rsidRPr="0049439F">
      <w:rPr>
        <w:noProof/>
      </w:rPr>
      <w:drawing>
        <wp:anchor distT="0" distB="0" distL="114300" distR="114300" simplePos="0" relativeHeight="251658243" behindDoc="0" locked="0" layoutInCell="1" allowOverlap="1" wp14:anchorId="750B83D9" wp14:editId="491B6C0E">
          <wp:simplePos x="0" y="0"/>
          <wp:positionH relativeFrom="page">
            <wp:posOffset>5572733</wp:posOffset>
          </wp:positionH>
          <wp:positionV relativeFrom="paragraph">
            <wp:posOffset>-27995</wp:posOffset>
          </wp:positionV>
          <wp:extent cx="1758051" cy="381663"/>
          <wp:effectExtent l="0" t="0" r="0" b="0"/>
          <wp:wrapNone/>
          <wp:docPr id="421164151" name="Picture 421164151" descr="Immagine che contiene Carattere, testo,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164151" name="Immagine 1" descr="Immagine che contiene Carattere, testo, logo, Elementi grafici&#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58051" cy="381663"/>
                  </a:xfrm>
                  <a:prstGeom prst="rect">
                    <a:avLst/>
                  </a:prstGeom>
                </pic:spPr>
              </pic:pic>
            </a:graphicData>
          </a:graphic>
          <wp14:sizeRelH relativeFrom="margin">
            <wp14:pctWidth>0</wp14:pctWidth>
          </wp14:sizeRelH>
          <wp14:sizeRelV relativeFrom="margin">
            <wp14:pctHeight>0</wp14:pctHeight>
          </wp14:sizeRelV>
        </wp:anchor>
      </w:drawing>
    </w:r>
    <w:r w:rsidR="00357E2E">
      <w:rPr>
        <w:noProof/>
      </w:rPr>
      <w:drawing>
        <wp:anchor distT="0" distB="0" distL="114300" distR="114300" simplePos="0" relativeHeight="251658244" behindDoc="0" locked="0" layoutInCell="1" allowOverlap="0" wp14:anchorId="05644C1D" wp14:editId="162DBD0B">
          <wp:simplePos x="0" y="0"/>
          <wp:positionH relativeFrom="page">
            <wp:posOffset>732790</wp:posOffset>
          </wp:positionH>
          <wp:positionV relativeFrom="page">
            <wp:posOffset>455930</wp:posOffset>
          </wp:positionV>
          <wp:extent cx="1365885" cy="434213"/>
          <wp:effectExtent l="0" t="0" r="0" b="0"/>
          <wp:wrapSquare wrapText="bothSides"/>
          <wp:docPr id="19" name="Picture 19"/>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2"/>
                  <a:stretch>
                    <a:fillRect/>
                  </a:stretch>
                </pic:blipFill>
                <pic:spPr>
                  <a:xfrm>
                    <a:off x="0" y="0"/>
                    <a:ext cx="1365885" cy="434213"/>
                  </a:xfrm>
                  <a:prstGeom prst="rect">
                    <a:avLst/>
                  </a:prstGeom>
                </pic:spPr>
              </pic:pic>
            </a:graphicData>
          </a:graphic>
        </wp:anchor>
      </w:drawing>
    </w:r>
    <w:r w:rsidR="00357E2E">
      <w:rPr>
        <w:noProof/>
      </w:rPr>
      <w:drawing>
        <wp:anchor distT="0" distB="0" distL="114300" distR="114300" simplePos="0" relativeHeight="251658245" behindDoc="0" locked="0" layoutInCell="1" allowOverlap="0" wp14:anchorId="743B68C0" wp14:editId="4F1D4C1A">
          <wp:simplePos x="0" y="0"/>
          <wp:positionH relativeFrom="margin">
            <wp:align>center</wp:align>
          </wp:positionH>
          <wp:positionV relativeFrom="page">
            <wp:posOffset>347980</wp:posOffset>
          </wp:positionV>
          <wp:extent cx="1453515" cy="487528"/>
          <wp:effectExtent l="0" t="0" r="0" b="8255"/>
          <wp:wrapSquare wrapText="bothSides"/>
          <wp:docPr id="20" name="Picture 20"/>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3"/>
                  <a:stretch>
                    <a:fillRect/>
                  </a:stretch>
                </pic:blipFill>
                <pic:spPr>
                  <a:xfrm>
                    <a:off x="0" y="0"/>
                    <a:ext cx="1453515" cy="487528"/>
                  </a:xfrm>
                  <a:prstGeom prst="rect">
                    <a:avLst/>
                  </a:prstGeom>
                </pic:spPr>
              </pic:pic>
            </a:graphicData>
          </a:graphic>
        </wp:anchor>
      </w:drawing>
    </w:r>
    <w:r w:rsidR="003234CB">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B1205" w14:textId="77777777" w:rsidR="00AA35B4" w:rsidRDefault="00107A22">
    <w:pPr>
      <w:spacing w:after="0" w:line="259" w:lineRule="auto"/>
      <w:ind w:left="0" w:right="413" w:firstLine="0"/>
      <w:jc w:val="right"/>
    </w:pPr>
    <w:r>
      <w:rPr>
        <w:noProof/>
      </w:rPr>
      <w:drawing>
        <wp:anchor distT="0" distB="0" distL="114300" distR="114300" simplePos="0" relativeHeight="251658246" behindDoc="0" locked="0" layoutInCell="1" allowOverlap="0" wp14:anchorId="148087FA" wp14:editId="21ED4CE7">
          <wp:simplePos x="0" y="0"/>
          <wp:positionH relativeFrom="page">
            <wp:posOffset>720090</wp:posOffset>
          </wp:positionH>
          <wp:positionV relativeFrom="page">
            <wp:posOffset>525780</wp:posOffset>
          </wp:positionV>
          <wp:extent cx="1365885" cy="434213"/>
          <wp:effectExtent l="0" t="0" r="0" b="0"/>
          <wp:wrapSquare wrapText="bothSides"/>
          <wp:docPr id="21" name="Picture 2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1365885" cy="434213"/>
                  </a:xfrm>
                  <a:prstGeom prst="rect">
                    <a:avLst/>
                  </a:prstGeom>
                </pic:spPr>
              </pic:pic>
            </a:graphicData>
          </a:graphic>
        </wp:anchor>
      </w:drawing>
    </w:r>
    <w:r>
      <w:rPr>
        <w:noProof/>
      </w:rPr>
      <w:drawing>
        <wp:anchor distT="0" distB="0" distL="114300" distR="114300" simplePos="0" relativeHeight="251658247" behindDoc="0" locked="0" layoutInCell="1" allowOverlap="0" wp14:anchorId="27ABED8C" wp14:editId="09C4CD1C">
          <wp:simplePos x="0" y="0"/>
          <wp:positionH relativeFrom="page">
            <wp:posOffset>3053461</wp:posOffset>
          </wp:positionH>
          <wp:positionV relativeFrom="page">
            <wp:posOffset>468655</wp:posOffset>
          </wp:positionV>
          <wp:extent cx="1453515" cy="487528"/>
          <wp:effectExtent l="0" t="0" r="0" b="0"/>
          <wp:wrapSquare wrapText="bothSides"/>
          <wp:docPr id="22" name="Picture 22"/>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2"/>
                  <a:stretch>
                    <a:fillRect/>
                  </a:stretch>
                </pic:blipFill>
                <pic:spPr>
                  <a:xfrm>
                    <a:off x="0" y="0"/>
                    <a:ext cx="1453515" cy="487528"/>
                  </a:xfrm>
                  <a:prstGeom prst="rect">
                    <a:avLst/>
                  </a:prstGeom>
                </pic:spPr>
              </pic:pic>
            </a:graphicData>
          </a:graphic>
        </wp:anchor>
      </w:drawing>
    </w:r>
    <w:r>
      <w:rPr>
        <w:noProof/>
      </w:rPr>
      <w:drawing>
        <wp:anchor distT="0" distB="0" distL="114300" distR="114300" simplePos="0" relativeHeight="251658248" behindDoc="0" locked="0" layoutInCell="1" allowOverlap="0" wp14:anchorId="5DFD55F4" wp14:editId="5AD766FA">
          <wp:simplePos x="0" y="0"/>
          <wp:positionH relativeFrom="page">
            <wp:posOffset>5544185</wp:posOffset>
          </wp:positionH>
          <wp:positionV relativeFrom="page">
            <wp:posOffset>449541</wp:posOffset>
          </wp:positionV>
          <wp:extent cx="1296035" cy="510451"/>
          <wp:effectExtent l="0" t="0" r="0" b="0"/>
          <wp:wrapSquare wrapText="bothSides"/>
          <wp:docPr id="23" name="Picture 23"/>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3"/>
                  <a:stretch>
                    <a:fillRect/>
                  </a:stretch>
                </pic:blipFill>
                <pic:spPr>
                  <a:xfrm>
                    <a:off x="0" y="0"/>
                    <a:ext cx="1296035" cy="510451"/>
                  </a:xfrm>
                  <a:prstGeom prst="rect">
                    <a:avLst/>
                  </a:prstGeom>
                </pic:spPr>
              </pic:pic>
            </a:graphicData>
          </a:graphic>
        </wp:anchor>
      </w:drawing>
    </w:r>
    <w:r>
      <w:t xml:space="preserve"> </w:t>
    </w:r>
    <w:r>
      <w:tab/>
      <w:t xml:space="preserve"> </w:t>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87022"/>
    <w:multiLevelType w:val="hybridMultilevel"/>
    <w:tmpl w:val="9D625B00"/>
    <w:lvl w:ilvl="0" w:tplc="04100019">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1" w15:restartNumberingAfterBreak="0">
    <w:nsid w:val="03C005F0"/>
    <w:multiLevelType w:val="hybridMultilevel"/>
    <w:tmpl w:val="4FCA857A"/>
    <w:lvl w:ilvl="0" w:tplc="778A6F4C">
      <w:start w:val="1"/>
      <w:numFmt w:val="lowerRoman"/>
      <w:lvlText w:val="%1)"/>
      <w:lvlJc w:val="left"/>
      <w:pPr>
        <w:ind w:left="1147" w:hanging="720"/>
      </w:pPr>
      <w:rPr>
        <w:rFonts w:hint="default"/>
      </w:r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2" w15:restartNumberingAfterBreak="0">
    <w:nsid w:val="079056B5"/>
    <w:multiLevelType w:val="multilevel"/>
    <w:tmpl w:val="631CB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540A3F"/>
    <w:multiLevelType w:val="multilevel"/>
    <w:tmpl w:val="71846FAC"/>
    <w:lvl w:ilvl="0">
      <w:start w:val="2"/>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7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B5E350B"/>
    <w:multiLevelType w:val="hybridMultilevel"/>
    <w:tmpl w:val="F112E364"/>
    <w:lvl w:ilvl="0" w:tplc="0410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 w15:restartNumberingAfterBreak="0">
    <w:nsid w:val="0CCE736E"/>
    <w:multiLevelType w:val="hybridMultilevel"/>
    <w:tmpl w:val="85C8D846"/>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15:restartNumberingAfterBreak="0">
    <w:nsid w:val="0FD93AE5"/>
    <w:multiLevelType w:val="hybridMultilevel"/>
    <w:tmpl w:val="5330F1AC"/>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0136D53"/>
    <w:multiLevelType w:val="hybridMultilevel"/>
    <w:tmpl w:val="E626CFBA"/>
    <w:lvl w:ilvl="0" w:tplc="0FAA415C">
      <w:start w:val="1"/>
      <w:numFmt w:val="lowerLetter"/>
      <w:lvlText w:val="%1."/>
      <w:lvlJc w:val="left"/>
      <w:pPr>
        <w:ind w:left="1132" w:hanging="360"/>
      </w:pPr>
      <w:rPr>
        <w:rFonts w:hint="default"/>
      </w:rPr>
    </w:lvl>
    <w:lvl w:ilvl="1" w:tplc="04100019" w:tentative="1">
      <w:start w:val="1"/>
      <w:numFmt w:val="lowerLetter"/>
      <w:lvlText w:val="%2."/>
      <w:lvlJc w:val="left"/>
      <w:pPr>
        <w:ind w:left="1852" w:hanging="360"/>
      </w:pPr>
    </w:lvl>
    <w:lvl w:ilvl="2" w:tplc="0410001B" w:tentative="1">
      <w:start w:val="1"/>
      <w:numFmt w:val="lowerRoman"/>
      <w:lvlText w:val="%3."/>
      <w:lvlJc w:val="right"/>
      <w:pPr>
        <w:ind w:left="2572" w:hanging="180"/>
      </w:pPr>
    </w:lvl>
    <w:lvl w:ilvl="3" w:tplc="0410000F" w:tentative="1">
      <w:start w:val="1"/>
      <w:numFmt w:val="decimal"/>
      <w:lvlText w:val="%4."/>
      <w:lvlJc w:val="left"/>
      <w:pPr>
        <w:ind w:left="3292" w:hanging="360"/>
      </w:pPr>
    </w:lvl>
    <w:lvl w:ilvl="4" w:tplc="04100019" w:tentative="1">
      <w:start w:val="1"/>
      <w:numFmt w:val="lowerLetter"/>
      <w:lvlText w:val="%5."/>
      <w:lvlJc w:val="left"/>
      <w:pPr>
        <w:ind w:left="4012" w:hanging="360"/>
      </w:pPr>
    </w:lvl>
    <w:lvl w:ilvl="5" w:tplc="0410001B" w:tentative="1">
      <w:start w:val="1"/>
      <w:numFmt w:val="lowerRoman"/>
      <w:lvlText w:val="%6."/>
      <w:lvlJc w:val="right"/>
      <w:pPr>
        <w:ind w:left="4732" w:hanging="180"/>
      </w:pPr>
    </w:lvl>
    <w:lvl w:ilvl="6" w:tplc="0410000F" w:tentative="1">
      <w:start w:val="1"/>
      <w:numFmt w:val="decimal"/>
      <w:lvlText w:val="%7."/>
      <w:lvlJc w:val="left"/>
      <w:pPr>
        <w:ind w:left="5452" w:hanging="360"/>
      </w:pPr>
    </w:lvl>
    <w:lvl w:ilvl="7" w:tplc="04100019" w:tentative="1">
      <w:start w:val="1"/>
      <w:numFmt w:val="lowerLetter"/>
      <w:lvlText w:val="%8."/>
      <w:lvlJc w:val="left"/>
      <w:pPr>
        <w:ind w:left="6172" w:hanging="360"/>
      </w:pPr>
    </w:lvl>
    <w:lvl w:ilvl="8" w:tplc="0410001B" w:tentative="1">
      <w:start w:val="1"/>
      <w:numFmt w:val="lowerRoman"/>
      <w:lvlText w:val="%9."/>
      <w:lvlJc w:val="right"/>
      <w:pPr>
        <w:ind w:left="6892" w:hanging="180"/>
      </w:pPr>
    </w:lvl>
  </w:abstractNum>
  <w:abstractNum w:abstractNumId="8" w15:restartNumberingAfterBreak="0">
    <w:nsid w:val="112851EF"/>
    <w:multiLevelType w:val="hybridMultilevel"/>
    <w:tmpl w:val="0AE0B576"/>
    <w:lvl w:ilvl="0" w:tplc="04100011">
      <w:start w:val="1"/>
      <w:numFmt w:val="decimal"/>
      <w:lvlText w:val="%1)"/>
      <w:lvlJc w:val="left"/>
      <w:pPr>
        <w:ind w:left="1147" w:hanging="360"/>
      </w:pPr>
    </w:lvl>
    <w:lvl w:ilvl="1" w:tplc="04100019" w:tentative="1">
      <w:start w:val="1"/>
      <w:numFmt w:val="lowerLetter"/>
      <w:lvlText w:val="%2."/>
      <w:lvlJc w:val="left"/>
      <w:pPr>
        <w:ind w:left="1867" w:hanging="360"/>
      </w:pPr>
    </w:lvl>
    <w:lvl w:ilvl="2" w:tplc="0410001B" w:tentative="1">
      <w:start w:val="1"/>
      <w:numFmt w:val="lowerRoman"/>
      <w:lvlText w:val="%3."/>
      <w:lvlJc w:val="right"/>
      <w:pPr>
        <w:ind w:left="2587" w:hanging="180"/>
      </w:pPr>
    </w:lvl>
    <w:lvl w:ilvl="3" w:tplc="0410000F" w:tentative="1">
      <w:start w:val="1"/>
      <w:numFmt w:val="decimal"/>
      <w:lvlText w:val="%4."/>
      <w:lvlJc w:val="left"/>
      <w:pPr>
        <w:ind w:left="3307" w:hanging="360"/>
      </w:pPr>
    </w:lvl>
    <w:lvl w:ilvl="4" w:tplc="04100019" w:tentative="1">
      <w:start w:val="1"/>
      <w:numFmt w:val="lowerLetter"/>
      <w:lvlText w:val="%5."/>
      <w:lvlJc w:val="left"/>
      <w:pPr>
        <w:ind w:left="4027" w:hanging="360"/>
      </w:pPr>
    </w:lvl>
    <w:lvl w:ilvl="5" w:tplc="0410001B" w:tentative="1">
      <w:start w:val="1"/>
      <w:numFmt w:val="lowerRoman"/>
      <w:lvlText w:val="%6."/>
      <w:lvlJc w:val="right"/>
      <w:pPr>
        <w:ind w:left="4747" w:hanging="180"/>
      </w:pPr>
    </w:lvl>
    <w:lvl w:ilvl="6" w:tplc="0410000F" w:tentative="1">
      <w:start w:val="1"/>
      <w:numFmt w:val="decimal"/>
      <w:lvlText w:val="%7."/>
      <w:lvlJc w:val="left"/>
      <w:pPr>
        <w:ind w:left="5467" w:hanging="360"/>
      </w:pPr>
    </w:lvl>
    <w:lvl w:ilvl="7" w:tplc="04100019" w:tentative="1">
      <w:start w:val="1"/>
      <w:numFmt w:val="lowerLetter"/>
      <w:lvlText w:val="%8."/>
      <w:lvlJc w:val="left"/>
      <w:pPr>
        <w:ind w:left="6187" w:hanging="360"/>
      </w:pPr>
    </w:lvl>
    <w:lvl w:ilvl="8" w:tplc="0410001B" w:tentative="1">
      <w:start w:val="1"/>
      <w:numFmt w:val="lowerRoman"/>
      <w:lvlText w:val="%9."/>
      <w:lvlJc w:val="right"/>
      <w:pPr>
        <w:ind w:left="6907" w:hanging="180"/>
      </w:pPr>
    </w:lvl>
  </w:abstractNum>
  <w:abstractNum w:abstractNumId="9" w15:restartNumberingAfterBreak="0">
    <w:nsid w:val="119A67CF"/>
    <w:multiLevelType w:val="hybridMultilevel"/>
    <w:tmpl w:val="86A6022C"/>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15:restartNumberingAfterBreak="0">
    <w:nsid w:val="13F67A4F"/>
    <w:multiLevelType w:val="hybridMultilevel"/>
    <w:tmpl w:val="280A8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7D80006"/>
    <w:multiLevelType w:val="multilevel"/>
    <w:tmpl w:val="30C69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C2F62B2"/>
    <w:multiLevelType w:val="hybridMultilevel"/>
    <w:tmpl w:val="88C6AA96"/>
    <w:lvl w:ilvl="0" w:tplc="91D64AA8">
      <w:numFmt w:val="bullet"/>
      <w:lvlText w:val="-"/>
      <w:lvlJc w:val="left"/>
      <w:pPr>
        <w:ind w:left="787" w:hanging="360"/>
      </w:pPr>
      <w:rPr>
        <w:rFonts w:ascii="Calibri" w:eastAsia="Calibri" w:hAnsi="Calibri" w:cs="Calibri" w:hint="default"/>
      </w:rPr>
    </w:lvl>
    <w:lvl w:ilvl="1" w:tplc="04100003" w:tentative="1">
      <w:start w:val="1"/>
      <w:numFmt w:val="bullet"/>
      <w:lvlText w:val="o"/>
      <w:lvlJc w:val="left"/>
      <w:pPr>
        <w:ind w:left="1507" w:hanging="360"/>
      </w:pPr>
      <w:rPr>
        <w:rFonts w:ascii="Courier New" w:hAnsi="Courier New" w:cs="Courier New" w:hint="default"/>
      </w:rPr>
    </w:lvl>
    <w:lvl w:ilvl="2" w:tplc="04100005" w:tentative="1">
      <w:start w:val="1"/>
      <w:numFmt w:val="bullet"/>
      <w:lvlText w:val=""/>
      <w:lvlJc w:val="left"/>
      <w:pPr>
        <w:ind w:left="2227" w:hanging="360"/>
      </w:pPr>
      <w:rPr>
        <w:rFonts w:ascii="Wingdings" w:hAnsi="Wingdings" w:hint="default"/>
      </w:rPr>
    </w:lvl>
    <w:lvl w:ilvl="3" w:tplc="04100001" w:tentative="1">
      <w:start w:val="1"/>
      <w:numFmt w:val="bullet"/>
      <w:lvlText w:val=""/>
      <w:lvlJc w:val="left"/>
      <w:pPr>
        <w:ind w:left="2947" w:hanging="360"/>
      </w:pPr>
      <w:rPr>
        <w:rFonts w:ascii="Symbol" w:hAnsi="Symbol" w:hint="default"/>
      </w:rPr>
    </w:lvl>
    <w:lvl w:ilvl="4" w:tplc="04100003" w:tentative="1">
      <w:start w:val="1"/>
      <w:numFmt w:val="bullet"/>
      <w:lvlText w:val="o"/>
      <w:lvlJc w:val="left"/>
      <w:pPr>
        <w:ind w:left="3667" w:hanging="360"/>
      </w:pPr>
      <w:rPr>
        <w:rFonts w:ascii="Courier New" w:hAnsi="Courier New" w:cs="Courier New" w:hint="default"/>
      </w:rPr>
    </w:lvl>
    <w:lvl w:ilvl="5" w:tplc="04100005" w:tentative="1">
      <w:start w:val="1"/>
      <w:numFmt w:val="bullet"/>
      <w:lvlText w:val=""/>
      <w:lvlJc w:val="left"/>
      <w:pPr>
        <w:ind w:left="4387" w:hanging="360"/>
      </w:pPr>
      <w:rPr>
        <w:rFonts w:ascii="Wingdings" w:hAnsi="Wingdings" w:hint="default"/>
      </w:rPr>
    </w:lvl>
    <w:lvl w:ilvl="6" w:tplc="04100001" w:tentative="1">
      <w:start w:val="1"/>
      <w:numFmt w:val="bullet"/>
      <w:lvlText w:val=""/>
      <w:lvlJc w:val="left"/>
      <w:pPr>
        <w:ind w:left="5107" w:hanging="360"/>
      </w:pPr>
      <w:rPr>
        <w:rFonts w:ascii="Symbol" w:hAnsi="Symbol" w:hint="default"/>
      </w:rPr>
    </w:lvl>
    <w:lvl w:ilvl="7" w:tplc="04100003" w:tentative="1">
      <w:start w:val="1"/>
      <w:numFmt w:val="bullet"/>
      <w:lvlText w:val="o"/>
      <w:lvlJc w:val="left"/>
      <w:pPr>
        <w:ind w:left="5827" w:hanging="360"/>
      </w:pPr>
      <w:rPr>
        <w:rFonts w:ascii="Courier New" w:hAnsi="Courier New" w:cs="Courier New" w:hint="default"/>
      </w:rPr>
    </w:lvl>
    <w:lvl w:ilvl="8" w:tplc="04100005" w:tentative="1">
      <w:start w:val="1"/>
      <w:numFmt w:val="bullet"/>
      <w:lvlText w:val=""/>
      <w:lvlJc w:val="left"/>
      <w:pPr>
        <w:ind w:left="6547" w:hanging="360"/>
      </w:pPr>
      <w:rPr>
        <w:rFonts w:ascii="Wingdings" w:hAnsi="Wingdings" w:hint="default"/>
      </w:rPr>
    </w:lvl>
  </w:abstractNum>
  <w:abstractNum w:abstractNumId="13" w15:restartNumberingAfterBreak="0">
    <w:nsid w:val="1D99280F"/>
    <w:multiLevelType w:val="hybridMultilevel"/>
    <w:tmpl w:val="6916CF18"/>
    <w:lvl w:ilvl="0" w:tplc="04100001">
      <w:start w:val="1"/>
      <w:numFmt w:val="bullet"/>
      <w:lvlText w:val=""/>
      <w:lvlJc w:val="left"/>
      <w:pPr>
        <w:ind w:left="1132" w:hanging="360"/>
      </w:pPr>
      <w:rPr>
        <w:rFonts w:ascii="Symbol" w:hAnsi="Symbol" w:hint="default"/>
      </w:rPr>
    </w:lvl>
    <w:lvl w:ilvl="1" w:tplc="04100003" w:tentative="1">
      <w:start w:val="1"/>
      <w:numFmt w:val="bullet"/>
      <w:lvlText w:val="o"/>
      <w:lvlJc w:val="left"/>
      <w:pPr>
        <w:ind w:left="1852" w:hanging="360"/>
      </w:pPr>
      <w:rPr>
        <w:rFonts w:ascii="Courier New" w:hAnsi="Courier New" w:cs="Courier New" w:hint="default"/>
      </w:rPr>
    </w:lvl>
    <w:lvl w:ilvl="2" w:tplc="04100005" w:tentative="1">
      <w:start w:val="1"/>
      <w:numFmt w:val="bullet"/>
      <w:lvlText w:val=""/>
      <w:lvlJc w:val="left"/>
      <w:pPr>
        <w:ind w:left="2572" w:hanging="360"/>
      </w:pPr>
      <w:rPr>
        <w:rFonts w:ascii="Wingdings" w:hAnsi="Wingdings" w:hint="default"/>
      </w:rPr>
    </w:lvl>
    <w:lvl w:ilvl="3" w:tplc="04100001" w:tentative="1">
      <w:start w:val="1"/>
      <w:numFmt w:val="bullet"/>
      <w:lvlText w:val=""/>
      <w:lvlJc w:val="left"/>
      <w:pPr>
        <w:ind w:left="3292" w:hanging="360"/>
      </w:pPr>
      <w:rPr>
        <w:rFonts w:ascii="Symbol" w:hAnsi="Symbol" w:hint="default"/>
      </w:rPr>
    </w:lvl>
    <w:lvl w:ilvl="4" w:tplc="04100003" w:tentative="1">
      <w:start w:val="1"/>
      <w:numFmt w:val="bullet"/>
      <w:lvlText w:val="o"/>
      <w:lvlJc w:val="left"/>
      <w:pPr>
        <w:ind w:left="4012" w:hanging="360"/>
      </w:pPr>
      <w:rPr>
        <w:rFonts w:ascii="Courier New" w:hAnsi="Courier New" w:cs="Courier New" w:hint="default"/>
      </w:rPr>
    </w:lvl>
    <w:lvl w:ilvl="5" w:tplc="04100005" w:tentative="1">
      <w:start w:val="1"/>
      <w:numFmt w:val="bullet"/>
      <w:lvlText w:val=""/>
      <w:lvlJc w:val="left"/>
      <w:pPr>
        <w:ind w:left="4732" w:hanging="360"/>
      </w:pPr>
      <w:rPr>
        <w:rFonts w:ascii="Wingdings" w:hAnsi="Wingdings" w:hint="default"/>
      </w:rPr>
    </w:lvl>
    <w:lvl w:ilvl="6" w:tplc="04100001" w:tentative="1">
      <w:start w:val="1"/>
      <w:numFmt w:val="bullet"/>
      <w:lvlText w:val=""/>
      <w:lvlJc w:val="left"/>
      <w:pPr>
        <w:ind w:left="5452" w:hanging="360"/>
      </w:pPr>
      <w:rPr>
        <w:rFonts w:ascii="Symbol" w:hAnsi="Symbol" w:hint="default"/>
      </w:rPr>
    </w:lvl>
    <w:lvl w:ilvl="7" w:tplc="04100003" w:tentative="1">
      <w:start w:val="1"/>
      <w:numFmt w:val="bullet"/>
      <w:lvlText w:val="o"/>
      <w:lvlJc w:val="left"/>
      <w:pPr>
        <w:ind w:left="6172" w:hanging="360"/>
      </w:pPr>
      <w:rPr>
        <w:rFonts w:ascii="Courier New" w:hAnsi="Courier New" w:cs="Courier New" w:hint="default"/>
      </w:rPr>
    </w:lvl>
    <w:lvl w:ilvl="8" w:tplc="04100005" w:tentative="1">
      <w:start w:val="1"/>
      <w:numFmt w:val="bullet"/>
      <w:lvlText w:val=""/>
      <w:lvlJc w:val="left"/>
      <w:pPr>
        <w:ind w:left="6892" w:hanging="360"/>
      </w:pPr>
      <w:rPr>
        <w:rFonts w:ascii="Wingdings" w:hAnsi="Wingdings" w:hint="default"/>
      </w:rPr>
    </w:lvl>
  </w:abstractNum>
  <w:abstractNum w:abstractNumId="14" w15:restartNumberingAfterBreak="0">
    <w:nsid w:val="21D9466B"/>
    <w:multiLevelType w:val="multilevel"/>
    <w:tmpl w:val="6FB887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23617F65"/>
    <w:multiLevelType w:val="hybridMultilevel"/>
    <w:tmpl w:val="E93E925E"/>
    <w:lvl w:ilvl="0" w:tplc="18666436">
      <w:start w:val="1"/>
      <w:numFmt w:val="decimal"/>
      <w:lvlText w:val="%1."/>
      <w:lvlJc w:val="left"/>
      <w:pPr>
        <w:ind w:left="772" w:hanging="360"/>
      </w:pPr>
      <w:rPr>
        <w:rFonts w:hint="default"/>
      </w:rPr>
    </w:lvl>
    <w:lvl w:ilvl="1" w:tplc="A68E3938">
      <w:numFmt w:val="bullet"/>
      <w:lvlText w:val="-"/>
      <w:lvlJc w:val="left"/>
      <w:pPr>
        <w:ind w:left="1492" w:hanging="360"/>
      </w:pPr>
      <w:rPr>
        <w:rFonts w:ascii="Calibri" w:eastAsia="Calibri" w:hAnsi="Calibri" w:cs="Calibri" w:hint="default"/>
      </w:rPr>
    </w:lvl>
    <w:lvl w:ilvl="2" w:tplc="0410001B" w:tentative="1">
      <w:start w:val="1"/>
      <w:numFmt w:val="lowerRoman"/>
      <w:lvlText w:val="%3."/>
      <w:lvlJc w:val="right"/>
      <w:pPr>
        <w:ind w:left="2212" w:hanging="180"/>
      </w:pPr>
    </w:lvl>
    <w:lvl w:ilvl="3" w:tplc="0410000F" w:tentative="1">
      <w:start w:val="1"/>
      <w:numFmt w:val="decimal"/>
      <w:lvlText w:val="%4."/>
      <w:lvlJc w:val="left"/>
      <w:pPr>
        <w:ind w:left="2932" w:hanging="360"/>
      </w:pPr>
    </w:lvl>
    <w:lvl w:ilvl="4" w:tplc="04100019" w:tentative="1">
      <w:start w:val="1"/>
      <w:numFmt w:val="lowerLetter"/>
      <w:lvlText w:val="%5."/>
      <w:lvlJc w:val="left"/>
      <w:pPr>
        <w:ind w:left="3652" w:hanging="360"/>
      </w:pPr>
    </w:lvl>
    <w:lvl w:ilvl="5" w:tplc="0410001B" w:tentative="1">
      <w:start w:val="1"/>
      <w:numFmt w:val="lowerRoman"/>
      <w:lvlText w:val="%6."/>
      <w:lvlJc w:val="right"/>
      <w:pPr>
        <w:ind w:left="4372" w:hanging="180"/>
      </w:pPr>
    </w:lvl>
    <w:lvl w:ilvl="6" w:tplc="0410000F" w:tentative="1">
      <w:start w:val="1"/>
      <w:numFmt w:val="decimal"/>
      <w:lvlText w:val="%7."/>
      <w:lvlJc w:val="left"/>
      <w:pPr>
        <w:ind w:left="5092" w:hanging="360"/>
      </w:pPr>
    </w:lvl>
    <w:lvl w:ilvl="7" w:tplc="04100019" w:tentative="1">
      <w:start w:val="1"/>
      <w:numFmt w:val="lowerLetter"/>
      <w:lvlText w:val="%8."/>
      <w:lvlJc w:val="left"/>
      <w:pPr>
        <w:ind w:left="5812" w:hanging="360"/>
      </w:pPr>
    </w:lvl>
    <w:lvl w:ilvl="8" w:tplc="0410001B" w:tentative="1">
      <w:start w:val="1"/>
      <w:numFmt w:val="lowerRoman"/>
      <w:lvlText w:val="%9."/>
      <w:lvlJc w:val="right"/>
      <w:pPr>
        <w:ind w:left="6532" w:hanging="180"/>
      </w:pPr>
    </w:lvl>
  </w:abstractNum>
  <w:abstractNum w:abstractNumId="16" w15:restartNumberingAfterBreak="0">
    <w:nsid w:val="27E4146D"/>
    <w:multiLevelType w:val="hybridMultilevel"/>
    <w:tmpl w:val="9FCE178E"/>
    <w:lvl w:ilvl="0" w:tplc="01EAD664">
      <w:start w:val="1"/>
      <w:numFmt w:val="bullet"/>
      <w:lvlText w:val=""/>
      <w:lvlJc w:val="left"/>
      <w:pPr>
        <w:ind w:left="4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78F0EE6A">
      <w:start w:val="1"/>
      <w:numFmt w:val="bullet"/>
      <w:lvlText w:val="o"/>
      <w:lvlJc w:val="left"/>
      <w:pPr>
        <w:ind w:left="123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4E0537E">
      <w:start w:val="1"/>
      <w:numFmt w:val="bullet"/>
      <w:lvlText w:val="▪"/>
      <w:lvlJc w:val="left"/>
      <w:pPr>
        <w:ind w:left="195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B7295F6">
      <w:start w:val="1"/>
      <w:numFmt w:val="bullet"/>
      <w:lvlText w:val="•"/>
      <w:lvlJc w:val="left"/>
      <w:pPr>
        <w:ind w:left="267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310D248">
      <w:start w:val="1"/>
      <w:numFmt w:val="bullet"/>
      <w:lvlText w:val="o"/>
      <w:lvlJc w:val="left"/>
      <w:pPr>
        <w:ind w:left="339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1EAFC48">
      <w:start w:val="1"/>
      <w:numFmt w:val="bullet"/>
      <w:lvlText w:val="▪"/>
      <w:lvlJc w:val="left"/>
      <w:pPr>
        <w:ind w:left="411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05E9576">
      <w:start w:val="1"/>
      <w:numFmt w:val="bullet"/>
      <w:lvlText w:val="•"/>
      <w:lvlJc w:val="left"/>
      <w:pPr>
        <w:ind w:left="483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3D7E9252">
      <w:start w:val="1"/>
      <w:numFmt w:val="bullet"/>
      <w:lvlText w:val="o"/>
      <w:lvlJc w:val="left"/>
      <w:pPr>
        <w:ind w:left="555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C8447EB0">
      <w:start w:val="1"/>
      <w:numFmt w:val="bullet"/>
      <w:lvlText w:val="▪"/>
      <w:lvlJc w:val="left"/>
      <w:pPr>
        <w:ind w:left="627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A007B47"/>
    <w:multiLevelType w:val="hybridMultilevel"/>
    <w:tmpl w:val="CB401432"/>
    <w:lvl w:ilvl="0" w:tplc="FA9A8460">
      <w:start w:val="3"/>
      <w:numFmt w:val="bullet"/>
      <w:lvlText w:val="-"/>
      <w:lvlJc w:val="left"/>
      <w:pPr>
        <w:ind w:left="1137" w:hanging="360"/>
      </w:pPr>
      <w:rPr>
        <w:rFonts w:ascii="Open Sans Light" w:eastAsia="Calibri" w:hAnsi="Open Sans Light" w:cs="Open Sans Light" w:hint="default"/>
      </w:rPr>
    </w:lvl>
    <w:lvl w:ilvl="1" w:tplc="04100003" w:tentative="1">
      <w:start w:val="1"/>
      <w:numFmt w:val="bullet"/>
      <w:lvlText w:val="o"/>
      <w:lvlJc w:val="left"/>
      <w:pPr>
        <w:ind w:left="1857" w:hanging="360"/>
      </w:pPr>
      <w:rPr>
        <w:rFonts w:ascii="Courier New" w:hAnsi="Courier New" w:cs="Courier New" w:hint="default"/>
      </w:rPr>
    </w:lvl>
    <w:lvl w:ilvl="2" w:tplc="04100005" w:tentative="1">
      <w:start w:val="1"/>
      <w:numFmt w:val="bullet"/>
      <w:lvlText w:val=""/>
      <w:lvlJc w:val="left"/>
      <w:pPr>
        <w:ind w:left="2577" w:hanging="360"/>
      </w:pPr>
      <w:rPr>
        <w:rFonts w:ascii="Wingdings" w:hAnsi="Wingdings" w:hint="default"/>
      </w:rPr>
    </w:lvl>
    <w:lvl w:ilvl="3" w:tplc="04100001" w:tentative="1">
      <w:start w:val="1"/>
      <w:numFmt w:val="bullet"/>
      <w:lvlText w:val=""/>
      <w:lvlJc w:val="left"/>
      <w:pPr>
        <w:ind w:left="3297" w:hanging="360"/>
      </w:pPr>
      <w:rPr>
        <w:rFonts w:ascii="Symbol" w:hAnsi="Symbol" w:hint="default"/>
      </w:rPr>
    </w:lvl>
    <w:lvl w:ilvl="4" w:tplc="04100003" w:tentative="1">
      <w:start w:val="1"/>
      <w:numFmt w:val="bullet"/>
      <w:lvlText w:val="o"/>
      <w:lvlJc w:val="left"/>
      <w:pPr>
        <w:ind w:left="4017" w:hanging="360"/>
      </w:pPr>
      <w:rPr>
        <w:rFonts w:ascii="Courier New" w:hAnsi="Courier New" w:cs="Courier New" w:hint="default"/>
      </w:rPr>
    </w:lvl>
    <w:lvl w:ilvl="5" w:tplc="04100005" w:tentative="1">
      <w:start w:val="1"/>
      <w:numFmt w:val="bullet"/>
      <w:lvlText w:val=""/>
      <w:lvlJc w:val="left"/>
      <w:pPr>
        <w:ind w:left="4737" w:hanging="360"/>
      </w:pPr>
      <w:rPr>
        <w:rFonts w:ascii="Wingdings" w:hAnsi="Wingdings" w:hint="default"/>
      </w:rPr>
    </w:lvl>
    <w:lvl w:ilvl="6" w:tplc="04100001" w:tentative="1">
      <w:start w:val="1"/>
      <w:numFmt w:val="bullet"/>
      <w:lvlText w:val=""/>
      <w:lvlJc w:val="left"/>
      <w:pPr>
        <w:ind w:left="5457" w:hanging="360"/>
      </w:pPr>
      <w:rPr>
        <w:rFonts w:ascii="Symbol" w:hAnsi="Symbol" w:hint="default"/>
      </w:rPr>
    </w:lvl>
    <w:lvl w:ilvl="7" w:tplc="04100003" w:tentative="1">
      <w:start w:val="1"/>
      <w:numFmt w:val="bullet"/>
      <w:lvlText w:val="o"/>
      <w:lvlJc w:val="left"/>
      <w:pPr>
        <w:ind w:left="6177" w:hanging="360"/>
      </w:pPr>
      <w:rPr>
        <w:rFonts w:ascii="Courier New" w:hAnsi="Courier New" w:cs="Courier New" w:hint="default"/>
      </w:rPr>
    </w:lvl>
    <w:lvl w:ilvl="8" w:tplc="04100005" w:tentative="1">
      <w:start w:val="1"/>
      <w:numFmt w:val="bullet"/>
      <w:lvlText w:val=""/>
      <w:lvlJc w:val="left"/>
      <w:pPr>
        <w:ind w:left="6897" w:hanging="360"/>
      </w:pPr>
      <w:rPr>
        <w:rFonts w:ascii="Wingdings" w:hAnsi="Wingdings" w:hint="default"/>
      </w:rPr>
    </w:lvl>
  </w:abstractNum>
  <w:abstractNum w:abstractNumId="18" w15:restartNumberingAfterBreak="0">
    <w:nsid w:val="2C074E0B"/>
    <w:multiLevelType w:val="multilevel"/>
    <w:tmpl w:val="608A179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2D48571C"/>
    <w:multiLevelType w:val="hybridMultilevel"/>
    <w:tmpl w:val="1E2E1BD0"/>
    <w:lvl w:ilvl="0" w:tplc="7AC20674">
      <w:start w:val="1"/>
      <w:numFmt w:val="decimal"/>
      <w:lvlText w:val="%1."/>
      <w:lvlJc w:val="left"/>
      <w:pPr>
        <w:ind w:left="927" w:hanging="360"/>
      </w:pPr>
      <w:rPr>
        <w:rFonts w:hint="default"/>
        <w:b/>
        <w:bCs w:val="0"/>
        <w:u w:val="none"/>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0" w15:restartNumberingAfterBreak="0">
    <w:nsid w:val="363C60EB"/>
    <w:multiLevelType w:val="multilevel"/>
    <w:tmpl w:val="D2104A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3BCC3787"/>
    <w:multiLevelType w:val="hybridMultilevel"/>
    <w:tmpl w:val="FE6C121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2" w15:restartNumberingAfterBreak="0">
    <w:nsid w:val="3C4A2F1C"/>
    <w:multiLevelType w:val="hybridMultilevel"/>
    <w:tmpl w:val="EC16C09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15:restartNumberingAfterBreak="0">
    <w:nsid w:val="4275562A"/>
    <w:multiLevelType w:val="hybridMultilevel"/>
    <w:tmpl w:val="95BCE396"/>
    <w:lvl w:ilvl="0" w:tplc="895887DC">
      <w:start w:val="1"/>
      <w:numFmt w:val="decimal"/>
      <w:lvlText w:val="%1)"/>
      <w:lvlJc w:val="left"/>
      <w:pPr>
        <w:ind w:left="13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256B74A">
      <w:start w:val="1"/>
      <w:numFmt w:val="lowerLetter"/>
      <w:lvlText w:val="%2"/>
      <w:lvlJc w:val="left"/>
      <w:pPr>
        <w:ind w:left="21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190D720">
      <w:start w:val="1"/>
      <w:numFmt w:val="lowerRoman"/>
      <w:lvlText w:val="%3"/>
      <w:lvlJc w:val="left"/>
      <w:pPr>
        <w:ind w:left="28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5FC8598">
      <w:start w:val="1"/>
      <w:numFmt w:val="decimal"/>
      <w:lvlText w:val="%4"/>
      <w:lvlJc w:val="left"/>
      <w:pPr>
        <w:ind w:left="35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0FA22C0">
      <w:start w:val="1"/>
      <w:numFmt w:val="lowerLetter"/>
      <w:lvlText w:val="%5"/>
      <w:lvlJc w:val="left"/>
      <w:pPr>
        <w:ind w:left="43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B121C1A">
      <w:start w:val="1"/>
      <w:numFmt w:val="lowerRoman"/>
      <w:lvlText w:val="%6"/>
      <w:lvlJc w:val="left"/>
      <w:pPr>
        <w:ind w:left="50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D60A5FA">
      <w:start w:val="1"/>
      <w:numFmt w:val="decimal"/>
      <w:lvlText w:val="%7"/>
      <w:lvlJc w:val="left"/>
      <w:pPr>
        <w:ind w:left="57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98A291E">
      <w:start w:val="1"/>
      <w:numFmt w:val="lowerLetter"/>
      <w:lvlText w:val="%8"/>
      <w:lvlJc w:val="left"/>
      <w:pPr>
        <w:ind w:left="64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F1824AA">
      <w:start w:val="1"/>
      <w:numFmt w:val="lowerRoman"/>
      <w:lvlText w:val="%9"/>
      <w:lvlJc w:val="left"/>
      <w:pPr>
        <w:ind w:left="7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6A3191B"/>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1352"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488254B4"/>
    <w:multiLevelType w:val="multilevel"/>
    <w:tmpl w:val="820A1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61A63E7"/>
    <w:multiLevelType w:val="multilevel"/>
    <w:tmpl w:val="DF4C058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6EA20938"/>
    <w:multiLevelType w:val="hybridMultilevel"/>
    <w:tmpl w:val="C21E9910"/>
    <w:lvl w:ilvl="0" w:tplc="228EEEE6">
      <w:start w:val="1"/>
      <w:numFmt w:val="bullet"/>
      <w:lvlText w:val=""/>
      <w:lvlJc w:val="left"/>
      <w:pPr>
        <w:ind w:left="115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EE519F1"/>
    <w:multiLevelType w:val="hybridMultilevel"/>
    <w:tmpl w:val="1EFAA444"/>
    <w:lvl w:ilvl="0" w:tplc="FF807606">
      <w:start w:val="1"/>
      <w:numFmt w:val="decimal"/>
      <w:lvlText w:val="%1)"/>
      <w:lvlJc w:val="left"/>
      <w:pPr>
        <w:ind w:left="787" w:hanging="360"/>
      </w:pPr>
      <w:rPr>
        <w:rFonts w:hint="default"/>
      </w:r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29" w15:restartNumberingAfterBreak="0">
    <w:nsid w:val="73BD6ED5"/>
    <w:multiLevelType w:val="hybridMultilevel"/>
    <w:tmpl w:val="6736E2A2"/>
    <w:lvl w:ilvl="0" w:tplc="04100005">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0" w15:restartNumberingAfterBreak="0">
    <w:nsid w:val="77CE7282"/>
    <w:multiLevelType w:val="hybridMultilevel"/>
    <w:tmpl w:val="D108D47A"/>
    <w:lvl w:ilvl="0" w:tplc="15C2099A">
      <w:numFmt w:val="bullet"/>
      <w:lvlText w:val="-"/>
      <w:lvlJc w:val="left"/>
      <w:pPr>
        <w:ind w:left="1068" w:hanging="360"/>
      </w:pPr>
      <w:rPr>
        <w:rFonts w:ascii="Open Sans Light" w:eastAsia="Calibri" w:hAnsi="Open Sans Light" w:cs="Open Sans Light"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7C3B3960"/>
    <w:multiLevelType w:val="hybridMultilevel"/>
    <w:tmpl w:val="F7F66018"/>
    <w:lvl w:ilvl="0" w:tplc="04100019">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2" w15:restartNumberingAfterBreak="0">
    <w:nsid w:val="7DB140C9"/>
    <w:multiLevelType w:val="hybridMultilevel"/>
    <w:tmpl w:val="6390F9EA"/>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1323318546">
    <w:abstractNumId w:val="23"/>
  </w:num>
  <w:num w:numId="2" w16cid:durableId="1249384344">
    <w:abstractNumId w:val="8"/>
  </w:num>
  <w:num w:numId="3" w16cid:durableId="455678198">
    <w:abstractNumId w:val="28"/>
  </w:num>
  <w:num w:numId="4" w16cid:durableId="641930602">
    <w:abstractNumId w:val="27"/>
  </w:num>
  <w:num w:numId="5" w16cid:durableId="1739279194">
    <w:abstractNumId w:val="3"/>
  </w:num>
  <w:num w:numId="6" w16cid:durableId="2022002375">
    <w:abstractNumId w:val="16"/>
  </w:num>
  <w:num w:numId="7" w16cid:durableId="691340915">
    <w:abstractNumId w:val="29"/>
  </w:num>
  <w:num w:numId="8" w16cid:durableId="196163221">
    <w:abstractNumId w:val="19"/>
  </w:num>
  <w:num w:numId="9" w16cid:durableId="1101415140">
    <w:abstractNumId w:val="31"/>
  </w:num>
  <w:num w:numId="10" w16cid:durableId="844827545">
    <w:abstractNumId w:val="0"/>
  </w:num>
  <w:num w:numId="11" w16cid:durableId="1955166543">
    <w:abstractNumId w:val="15"/>
  </w:num>
  <w:num w:numId="12" w16cid:durableId="681933538">
    <w:abstractNumId w:val="24"/>
  </w:num>
  <w:num w:numId="13" w16cid:durableId="989792138">
    <w:abstractNumId w:val="10"/>
  </w:num>
  <w:num w:numId="14" w16cid:durableId="1623686567">
    <w:abstractNumId w:val="32"/>
  </w:num>
  <w:num w:numId="15" w16cid:durableId="2076125598">
    <w:abstractNumId w:val="6"/>
  </w:num>
  <w:num w:numId="16" w16cid:durableId="1419979217">
    <w:abstractNumId w:val="9"/>
  </w:num>
  <w:num w:numId="17" w16cid:durableId="1537814094">
    <w:abstractNumId w:val="7"/>
  </w:num>
  <w:num w:numId="18" w16cid:durableId="1134329654">
    <w:abstractNumId w:val="1"/>
  </w:num>
  <w:num w:numId="19" w16cid:durableId="1266186629">
    <w:abstractNumId w:val="13"/>
  </w:num>
  <w:num w:numId="20" w16cid:durableId="1316958095">
    <w:abstractNumId w:val="17"/>
  </w:num>
  <w:num w:numId="21" w16cid:durableId="2123108206">
    <w:abstractNumId w:val="5"/>
  </w:num>
  <w:num w:numId="22" w16cid:durableId="53742803">
    <w:abstractNumId w:val="11"/>
  </w:num>
  <w:num w:numId="23" w16cid:durableId="1852836960">
    <w:abstractNumId w:val="26"/>
  </w:num>
  <w:num w:numId="24" w16cid:durableId="1853955366">
    <w:abstractNumId w:val="14"/>
  </w:num>
  <w:num w:numId="25" w16cid:durableId="1535272536">
    <w:abstractNumId w:val="2"/>
  </w:num>
  <w:num w:numId="26" w16cid:durableId="1218278081">
    <w:abstractNumId w:val="18"/>
  </w:num>
  <w:num w:numId="27" w16cid:durableId="1325468780">
    <w:abstractNumId w:val="25"/>
  </w:num>
  <w:num w:numId="28" w16cid:durableId="319047299">
    <w:abstractNumId w:val="20"/>
  </w:num>
  <w:num w:numId="29" w16cid:durableId="915364172">
    <w:abstractNumId w:val="21"/>
  </w:num>
  <w:num w:numId="30" w16cid:durableId="1911967127">
    <w:abstractNumId w:val="22"/>
  </w:num>
  <w:num w:numId="31" w16cid:durableId="444346218">
    <w:abstractNumId w:val="30"/>
  </w:num>
  <w:num w:numId="32" w16cid:durableId="239799002">
    <w:abstractNumId w:val="4"/>
  </w:num>
  <w:num w:numId="33" w16cid:durableId="143821090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5B4"/>
    <w:rsid w:val="00002BE3"/>
    <w:rsid w:val="00002C3B"/>
    <w:rsid w:val="00004031"/>
    <w:rsid w:val="00005C36"/>
    <w:rsid w:val="0000690B"/>
    <w:rsid w:val="000134F6"/>
    <w:rsid w:val="00013BCF"/>
    <w:rsid w:val="00015175"/>
    <w:rsid w:val="00020D44"/>
    <w:rsid w:val="0002569C"/>
    <w:rsid w:val="000257DA"/>
    <w:rsid w:val="000270BB"/>
    <w:rsid w:val="00027184"/>
    <w:rsid w:val="0003171E"/>
    <w:rsid w:val="00031C81"/>
    <w:rsid w:val="000327B4"/>
    <w:rsid w:val="00032CD0"/>
    <w:rsid w:val="00033E8A"/>
    <w:rsid w:val="000400A2"/>
    <w:rsid w:val="00043810"/>
    <w:rsid w:val="00045D72"/>
    <w:rsid w:val="00046434"/>
    <w:rsid w:val="00046DFA"/>
    <w:rsid w:val="0005312B"/>
    <w:rsid w:val="00053813"/>
    <w:rsid w:val="00054392"/>
    <w:rsid w:val="00054809"/>
    <w:rsid w:val="000548A1"/>
    <w:rsid w:val="00054EC5"/>
    <w:rsid w:val="00056BD5"/>
    <w:rsid w:val="00060C98"/>
    <w:rsid w:val="0006300D"/>
    <w:rsid w:val="00063103"/>
    <w:rsid w:val="00063549"/>
    <w:rsid w:val="000638C5"/>
    <w:rsid w:val="00064866"/>
    <w:rsid w:val="00072F81"/>
    <w:rsid w:val="00074D27"/>
    <w:rsid w:val="00077286"/>
    <w:rsid w:val="00080530"/>
    <w:rsid w:val="00081B79"/>
    <w:rsid w:val="00082554"/>
    <w:rsid w:val="00086C33"/>
    <w:rsid w:val="000908E4"/>
    <w:rsid w:val="00090C3E"/>
    <w:rsid w:val="00090ED1"/>
    <w:rsid w:val="00091BA4"/>
    <w:rsid w:val="0009261B"/>
    <w:rsid w:val="00092C54"/>
    <w:rsid w:val="0009437D"/>
    <w:rsid w:val="000975A2"/>
    <w:rsid w:val="000A059C"/>
    <w:rsid w:val="000A3756"/>
    <w:rsid w:val="000A4612"/>
    <w:rsid w:val="000A5A67"/>
    <w:rsid w:val="000B027E"/>
    <w:rsid w:val="000B0A73"/>
    <w:rsid w:val="000B1527"/>
    <w:rsid w:val="000B21F7"/>
    <w:rsid w:val="000B2E7F"/>
    <w:rsid w:val="000B346F"/>
    <w:rsid w:val="000B3622"/>
    <w:rsid w:val="000B495B"/>
    <w:rsid w:val="000B5054"/>
    <w:rsid w:val="000B5609"/>
    <w:rsid w:val="000B5B51"/>
    <w:rsid w:val="000B67CE"/>
    <w:rsid w:val="000B7127"/>
    <w:rsid w:val="000C389A"/>
    <w:rsid w:val="000C452C"/>
    <w:rsid w:val="000C59EA"/>
    <w:rsid w:val="000C655F"/>
    <w:rsid w:val="000C7931"/>
    <w:rsid w:val="000C7A7D"/>
    <w:rsid w:val="000D1C15"/>
    <w:rsid w:val="000D2831"/>
    <w:rsid w:val="000D2B8C"/>
    <w:rsid w:val="000D2F59"/>
    <w:rsid w:val="000D3ADE"/>
    <w:rsid w:val="000D41F1"/>
    <w:rsid w:val="000D4988"/>
    <w:rsid w:val="000D4B57"/>
    <w:rsid w:val="000D51B8"/>
    <w:rsid w:val="000D574C"/>
    <w:rsid w:val="000D616A"/>
    <w:rsid w:val="000D66AC"/>
    <w:rsid w:val="000D7613"/>
    <w:rsid w:val="000D7913"/>
    <w:rsid w:val="000E1476"/>
    <w:rsid w:val="000E2284"/>
    <w:rsid w:val="000E2BA6"/>
    <w:rsid w:val="000E4B5C"/>
    <w:rsid w:val="000E52DC"/>
    <w:rsid w:val="000F019C"/>
    <w:rsid w:val="000F0530"/>
    <w:rsid w:val="000F6DEB"/>
    <w:rsid w:val="00101F12"/>
    <w:rsid w:val="00102D77"/>
    <w:rsid w:val="001030DB"/>
    <w:rsid w:val="001041A0"/>
    <w:rsid w:val="00104689"/>
    <w:rsid w:val="00106018"/>
    <w:rsid w:val="00107A22"/>
    <w:rsid w:val="00110FA9"/>
    <w:rsid w:val="00113A47"/>
    <w:rsid w:val="00114371"/>
    <w:rsid w:val="00114537"/>
    <w:rsid w:val="00115818"/>
    <w:rsid w:val="001230FE"/>
    <w:rsid w:val="00124641"/>
    <w:rsid w:val="0012499E"/>
    <w:rsid w:val="00126CB4"/>
    <w:rsid w:val="00136AA7"/>
    <w:rsid w:val="00141460"/>
    <w:rsid w:val="001420A9"/>
    <w:rsid w:val="00143706"/>
    <w:rsid w:val="0014408E"/>
    <w:rsid w:val="00145C98"/>
    <w:rsid w:val="00151C6B"/>
    <w:rsid w:val="001549D8"/>
    <w:rsid w:val="0015510C"/>
    <w:rsid w:val="00155449"/>
    <w:rsid w:val="00160A99"/>
    <w:rsid w:val="00160AD7"/>
    <w:rsid w:val="00165D85"/>
    <w:rsid w:val="001663B1"/>
    <w:rsid w:val="00167272"/>
    <w:rsid w:val="001677A5"/>
    <w:rsid w:val="0017512A"/>
    <w:rsid w:val="001762E8"/>
    <w:rsid w:val="0017741C"/>
    <w:rsid w:val="00180A1F"/>
    <w:rsid w:val="00181510"/>
    <w:rsid w:val="00181673"/>
    <w:rsid w:val="001839FB"/>
    <w:rsid w:val="00186978"/>
    <w:rsid w:val="00190EE2"/>
    <w:rsid w:val="0019372C"/>
    <w:rsid w:val="00193C04"/>
    <w:rsid w:val="0019462A"/>
    <w:rsid w:val="001946F6"/>
    <w:rsid w:val="001A21FA"/>
    <w:rsid w:val="001A3034"/>
    <w:rsid w:val="001A41FB"/>
    <w:rsid w:val="001A48FE"/>
    <w:rsid w:val="001A5A62"/>
    <w:rsid w:val="001A60A8"/>
    <w:rsid w:val="001A6620"/>
    <w:rsid w:val="001A7929"/>
    <w:rsid w:val="001B115F"/>
    <w:rsid w:val="001B15AF"/>
    <w:rsid w:val="001B16A7"/>
    <w:rsid w:val="001B34A5"/>
    <w:rsid w:val="001B46E0"/>
    <w:rsid w:val="001B64C2"/>
    <w:rsid w:val="001B6865"/>
    <w:rsid w:val="001B69BE"/>
    <w:rsid w:val="001C2D7F"/>
    <w:rsid w:val="001C3140"/>
    <w:rsid w:val="001C41F4"/>
    <w:rsid w:val="001C6847"/>
    <w:rsid w:val="001C73C5"/>
    <w:rsid w:val="001C769C"/>
    <w:rsid w:val="001C7A4A"/>
    <w:rsid w:val="001D5663"/>
    <w:rsid w:val="001D5820"/>
    <w:rsid w:val="001D5971"/>
    <w:rsid w:val="001E059A"/>
    <w:rsid w:val="001E2320"/>
    <w:rsid w:val="001E2BEA"/>
    <w:rsid w:val="001E38AA"/>
    <w:rsid w:val="001E3D3B"/>
    <w:rsid w:val="001E57E9"/>
    <w:rsid w:val="001E5968"/>
    <w:rsid w:val="001E7243"/>
    <w:rsid w:val="001E7463"/>
    <w:rsid w:val="001E773A"/>
    <w:rsid w:val="001F0116"/>
    <w:rsid w:val="001F0C80"/>
    <w:rsid w:val="001F1574"/>
    <w:rsid w:val="001F1C4D"/>
    <w:rsid w:val="001F4EEE"/>
    <w:rsid w:val="001F4F80"/>
    <w:rsid w:val="001F55AF"/>
    <w:rsid w:val="001F793A"/>
    <w:rsid w:val="001F7A5A"/>
    <w:rsid w:val="00200171"/>
    <w:rsid w:val="00200D41"/>
    <w:rsid w:val="00200E0F"/>
    <w:rsid w:val="00201A45"/>
    <w:rsid w:val="00201B45"/>
    <w:rsid w:val="002026F4"/>
    <w:rsid w:val="002030F5"/>
    <w:rsid w:val="00205602"/>
    <w:rsid w:val="00207F24"/>
    <w:rsid w:val="00211587"/>
    <w:rsid w:val="00211B26"/>
    <w:rsid w:val="00212C81"/>
    <w:rsid w:val="00213168"/>
    <w:rsid w:val="00214754"/>
    <w:rsid w:val="00215D5C"/>
    <w:rsid w:val="0022053E"/>
    <w:rsid w:val="00220A2E"/>
    <w:rsid w:val="0022342B"/>
    <w:rsid w:val="00224D8D"/>
    <w:rsid w:val="00224EF2"/>
    <w:rsid w:val="00226145"/>
    <w:rsid w:val="00231CF3"/>
    <w:rsid w:val="00235721"/>
    <w:rsid w:val="00236695"/>
    <w:rsid w:val="00237D22"/>
    <w:rsid w:val="002404E7"/>
    <w:rsid w:val="00240778"/>
    <w:rsid w:val="00241D2F"/>
    <w:rsid w:val="002427EC"/>
    <w:rsid w:val="00244384"/>
    <w:rsid w:val="00244808"/>
    <w:rsid w:val="002448B1"/>
    <w:rsid w:val="00244E68"/>
    <w:rsid w:val="002465CA"/>
    <w:rsid w:val="00250C8F"/>
    <w:rsid w:val="00251E7B"/>
    <w:rsid w:val="0025340E"/>
    <w:rsid w:val="00254F96"/>
    <w:rsid w:val="002554AE"/>
    <w:rsid w:val="002560E2"/>
    <w:rsid w:val="00256E31"/>
    <w:rsid w:val="002629B1"/>
    <w:rsid w:val="00264022"/>
    <w:rsid w:val="00266778"/>
    <w:rsid w:val="00266ED0"/>
    <w:rsid w:val="00270766"/>
    <w:rsid w:val="00271BFF"/>
    <w:rsid w:val="0027737F"/>
    <w:rsid w:val="0028333D"/>
    <w:rsid w:val="00283F2C"/>
    <w:rsid w:val="00284D27"/>
    <w:rsid w:val="0029088C"/>
    <w:rsid w:val="0029189A"/>
    <w:rsid w:val="002919A7"/>
    <w:rsid w:val="0029252B"/>
    <w:rsid w:val="002928F9"/>
    <w:rsid w:val="0029674E"/>
    <w:rsid w:val="002A0060"/>
    <w:rsid w:val="002A1D51"/>
    <w:rsid w:val="002A2B41"/>
    <w:rsid w:val="002A530D"/>
    <w:rsid w:val="002A63BD"/>
    <w:rsid w:val="002A6CF9"/>
    <w:rsid w:val="002A717A"/>
    <w:rsid w:val="002A769C"/>
    <w:rsid w:val="002B1090"/>
    <w:rsid w:val="002B2F08"/>
    <w:rsid w:val="002B7332"/>
    <w:rsid w:val="002B7CC3"/>
    <w:rsid w:val="002C0CF7"/>
    <w:rsid w:val="002C2CCF"/>
    <w:rsid w:val="002C369E"/>
    <w:rsid w:val="002C4D44"/>
    <w:rsid w:val="002C5909"/>
    <w:rsid w:val="002C66C1"/>
    <w:rsid w:val="002D07E6"/>
    <w:rsid w:val="002D11A0"/>
    <w:rsid w:val="002D3BA6"/>
    <w:rsid w:val="002D3F81"/>
    <w:rsid w:val="002D61FE"/>
    <w:rsid w:val="002D7DFF"/>
    <w:rsid w:val="002E19F1"/>
    <w:rsid w:val="002E1ED1"/>
    <w:rsid w:val="002E32AA"/>
    <w:rsid w:val="002E5F75"/>
    <w:rsid w:val="002E73E5"/>
    <w:rsid w:val="002E779A"/>
    <w:rsid w:val="002E7FCF"/>
    <w:rsid w:val="002F00A3"/>
    <w:rsid w:val="002F28E2"/>
    <w:rsid w:val="002F36DD"/>
    <w:rsid w:val="002F3FD0"/>
    <w:rsid w:val="00300194"/>
    <w:rsid w:val="003024C8"/>
    <w:rsid w:val="00304017"/>
    <w:rsid w:val="00304B61"/>
    <w:rsid w:val="00306943"/>
    <w:rsid w:val="00312985"/>
    <w:rsid w:val="003132DD"/>
    <w:rsid w:val="003141B8"/>
    <w:rsid w:val="0031548C"/>
    <w:rsid w:val="00315EFE"/>
    <w:rsid w:val="0031609D"/>
    <w:rsid w:val="003175A8"/>
    <w:rsid w:val="003202F4"/>
    <w:rsid w:val="003203D1"/>
    <w:rsid w:val="003234CB"/>
    <w:rsid w:val="003237BB"/>
    <w:rsid w:val="00323C52"/>
    <w:rsid w:val="00325562"/>
    <w:rsid w:val="00326367"/>
    <w:rsid w:val="0032789C"/>
    <w:rsid w:val="00331C48"/>
    <w:rsid w:val="003344E2"/>
    <w:rsid w:val="003363AE"/>
    <w:rsid w:val="003402EF"/>
    <w:rsid w:val="00340F23"/>
    <w:rsid w:val="00341BD6"/>
    <w:rsid w:val="003421C0"/>
    <w:rsid w:val="00342CE6"/>
    <w:rsid w:val="00343D82"/>
    <w:rsid w:val="00344F4F"/>
    <w:rsid w:val="00345881"/>
    <w:rsid w:val="00345CBB"/>
    <w:rsid w:val="00345DC0"/>
    <w:rsid w:val="0034733A"/>
    <w:rsid w:val="0035053C"/>
    <w:rsid w:val="00350ED4"/>
    <w:rsid w:val="0035125A"/>
    <w:rsid w:val="0035381A"/>
    <w:rsid w:val="00353D94"/>
    <w:rsid w:val="00353E68"/>
    <w:rsid w:val="00356951"/>
    <w:rsid w:val="00357C64"/>
    <w:rsid w:val="00357E2E"/>
    <w:rsid w:val="00360C17"/>
    <w:rsid w:val="0036123C"/>
    <w:rsid w:val="0036312A"/>
    <w:rsid w:val="0036407A"/>
    <w:rsid w:val="00364435"/>
    <w:rsid w:val="003663B2"/>
    <w:rsid w:val="003706B2"/>
    <w:rsid w:val="00375413"/>
    <w:rsid w:val="003757B8"/>
    <w:rsid w:val="00377EF0"/>
    <w:rsid w:val="00380753"/>
    <w:rsid w:val="00382E7D"/>
    <w:rsid w:val="00382FE9"/>
    <w:rsid w:val="003847DF"/>
    <w:rsid w:val="003852B9"/>
    <w:rsid w:val="003854B2"/>
    <w:rsid w:val="00386826"/>
    <w:rsid w:val="003868C1"/>
    <w:rsid w:val="003901B3"/>
    <w:rsid w:val="00391DA8"/>
    <w:rsid w:val="0039264A"/>
    <w:rsid w:val="00392FE3"/>
    <w:rsid w:val="00393682"/>
    <w:rsid w:val="00395531"/>
    <w:rsid w:val="003A2807"/>
    <w:rsid w:val="003A402C"/>
    <w:rsid w:val="003A6571"/>
    <w:rsid w:val="003A6FA3"/>
    <w:rsid w:val="003B1138"/>
    <w:rsid w:val="003B1BCD"/>
    <w:rsid w:val="003B2D70"/>
    <w:rsid w:val="003B3578"/>
    <w:rsid w:val="003B43C3"/>
    <w:rsid w:val="003B5E85"/>
    <w:rsid w:val="003B642D"/>
    <w:rsid w:val="003B74D1"/>
    <w:rsid w:val="003C27B8"/>
    <w:rsid w:val="003C38F7"/>
    <w:rsid w:val="003C5C68"/>
    <w:rsid w:val="003C62B3"/>
    <w:rsid w:val="003C6BD1"/>
    <w:rsid w:val="003C7392"/>
    <w:rsid w:val="003D08A4"/>
    <w:rsid w:val="003D168C"/>
    <w:rsid w:val="003D28D2"/>
    <w:rsid w:val="003D31A3"/>
    <w:rsid w:val="003D61DB"/>
    <w:rsid w:val="003D62C9"/>
    <w:rsid w:val="003D6611"/>
    <w:rsid w:val="003E4589"/>
    <w:rsid w:val="003E4721"/>
    <w:rsid w:val="003E5D89"/>
    <w:rsid w:val="003F03EB"/>
    <w:rsid w:val="003F1F2A"/>
    <w:rsid w:val="003F5F05"/>
    <w:rsid w:val="003F7F4D"/>
    <w:rsid w:val="00401685"/>
    <w:rsid w:val="00402D59"/>
    <w:rsid w:val="004040B2"/>
    <w:rsid w:val="00405DD3"/>
    <w:rsid w:val="00410640"/>
    <w:rsid w:val="0041160D"/>
    <w:rsid w:val="004119A5"/>
    <w:rsid w:val="004120E7"/>
    <w:rsid w:val="00413792"/>
    <w:rsid w:val="00416714"/>
    <w:rsid w:val="004174D3"/>
    <w:rsid w:val="004178B5"/>
    <w:rsid w:val="00417BE1"/>
    <w:rsid w:val="00420FCF"/>
    <w:rsid w:val="0042224C"/>
    <w:rsid w:val="004226AB"/>
    <w:rsid w:val="00423481"/>
    <w:rsid w:val="0042459D"/>
    <w:rsid w:val="00425CD9"/>
    <w:rsid w:val="00425D80"/>
    <w:rsid w:val="004271B9"/>
    <w:rsid w:val="00427770"/>
    <w:rsid w:val="0043063B"/>
    <w:rsid w:val="00430D95"/>
    <w:rsid w:val="00431230"/>
    <w:rsid w:val="0043305E"/>
    <w:rsid w:val="0043469C"/>
    <w:rsid w:val="00434A33"/>
    <w:rsid w:val="00434C31"/>
    <w:rsid w:val="00437430"/>
    <w:rsid w:val="004405CE"/>
    <w:rsid w:val="00442C9A"/>
    <w:rsid w:val="0044359E"/>
    <w:rsid w:val="0044461E"/>
    <w:rsid w:val="00446A9F"/>
    <w:rsid w:val="004512EB"/>
    <w:rsid w:val="0045160D"/>
    <w:rsid w:val="0045369F"/>
    <w:rsid w:val="0045452F"/>
    <w:rsid w:val="0045488B"/>
    <w:rsid w:val="004578A1"/>
    <w:rsid w:val="00460178"/>
    <w:rsid w:val="00460294"/>
    <w:rsid w:val="004621D4"/>
    <w:rsid w:val="0046235A"/>
    <w:rsid w:val="004623BE"/>
    <w:rsid w:val="004624A3"/>
    <w:rsid w:val="00462D39"/>
    <w:rsid w:val="004638C9"/>
    <w:rsid w:val="00466C51"/>
    <w:rsid w:val="00466CB2"/>
    <w:rsid w:val="00470797"/>
    <w:rsid w:val="00471FC5"/>
    <w:rsid w:val="00472865"/>
    <w:rsid w:val="00473B45"/>
    <w:rsid w:val="00476874"/>
    <w:rsid w:val="004768DE"/>
    <w:rsid w:val="004770AA"/>
    <w:rsid w:val="00480703"/>
    <w:rsid w:val="004824F3"/>
    <w:rsid w:val="00482790"/>
    <w:rsid w:val="004829A2"/>
    <w:rsid w:val="00484A45"/>
    <w:rsid w:val="004855D3"/>
    <w:rsid w:val="00490300"/>
    <w:rsid w:val="0049066C"/>
    <w:rsid w:val="0049439F"/>
    <w:rsid w:val="00494BCC"/>
    <w:rsid w:val="00495ED3"/>
    <w:rsid w:val="004976A7"/>
    <w:rsid w:val="004A08B3"/>
    <w:rsid w:val="004A0A2B"/>
    <w:rsid w:val="004A1568"/>
    <w:rsid w:val="004A1DB9"/>
    <w:rsid w:val="004A2822"/>
    <w:rsid w:val="004A3F42"/>
    <w:rsid w:val="004A6B75"/>
    <w:rsid w:val="004A7413"/>
    <w:rsid w:val="004A755F"/>
    <w:rsid w:val="004A78AF"/>
    <w:rsid w:val="004B0ADC"/>
    <w:rsid w:val="004B2679"/>
    <w:rsid w:val="004B349B"/>
    <w:rsid w:val="004B4610"/>
    <w:rsid w:val="004B5721"/>
    <w:rsid w:val="004B5D36"/>
    <w:rsid w:val="004B6FF0"/>
    <w:rsid w:val="004B74A2"/>
    <w:rsid w:val="004B7CCA"/>
    <w:rsid w:val="004B7E57"/>
    <w:rsid w:val="004C179B"/>
    <w:rsid w:val="004C31E6"/>
    <w:rsid w:val="004C5E4E"/>
    <w:rsid w:val="004C70C3"/>
    <w:rsid w:val="004C7EDA"/>
    <w:rsid w:val="004D0F60"/>
    <w:rsid w:val="004D325B"/>
    <w:rsid w:val="004D5BB5"/>
    <w:rsid w:val="004D70F8"/>
    <w:rsid w:val="004D733D"/>
    <w:rsid w:val="004D7B24"/>
    <w:rsid w:val="004E26AD"/>
    <w:rsid w:val="004E27D6"/>
    <w:rsid w:val="004E30B8"/>
    <w:rsid w:val="004E7736"/>
    <w:rsid w:val="004F2562"/>
    <w:rsid w:val="004F3286"/>
    <w:rsid w:val="004F462A"/>
    <w:rsid w:val="004F464A"/>
    <w:rsid w:val="004F4C81"/>
    <w:rsid w:val="004F4D93"/>
    <w:rsid w:val="004F5F27"/>
    <w:rsid w:val="004F6BFF"/>
    <w:rsid w:val="004F7614"/>
    <w:rsid w:val="0050050C"/>
    <w:rsid w:val="0050152F"/>
    <w:rsid w:val="00503BC3"/>
    <w:rsid w:val="005056CD"/>
    <w:rsid w:val="00505820"/>
    <w:rsid w:val="0050687D"/>
    <w:rsid w:val="005079BE"/>
    <w:rsid w:val="0051144E"/>
    <w:rsid w:val="00511A94"/>
    <w:rsid w:val="005121A8"/>
    <w:rsid w:val="005125B4"/>
    <w:rsid w:val="005129D7"/>
    <w:rsid w:val="00513799"/>
    <w:rsid w:val="005151CA"/>
    <w:rsid w:val="005162A8"/>
    <w:rsid w:val="005162D8"/>
    <w:rsid w:val="005174D0"/>
    <w:rsid w:val="005231BF"/>
    <w:rsid w:val="005231F3"/>
    <w:rsid w:val="00523464"/>
    <w:rsid w:val="005252DF"/>
    <w:rsid w:val="005271D7"/>
    <w:rsid w:val="0052782E"/>
    <w:rsid w:val="00530E99"/>
    <w:rsid w:val="00531909"/>
    <w:rsid w:val="005323AB"/>
    <w:rsid w:val="0053464C"/>
    <w:rsid w:val="005360D9"/>
    <w:rsid w:val="0053688A"/>
    <w:rsid w:val="00544089"/>
    <w:rsid w:val="00545AE0"/>
    <w:rsid w:val="005465D4"/>
    <w:rsid w:val="005474A7"/>
    <w:rsid w:val="00547583"/>
    <w:rsid w:val="005477AB"/>
    <w:rsid w:val="00551AF0"/>
    <w:rsid w:val="00560F3D"/>
    <w:rsid w:val="0056176B"/>
    <w:rsid w:val="0056240B"/>
    <w:rsid w:val="00563067"/>
    <w:rsid w:val="00564F6C"/>
    <w:rsid w:val="005676CA"/>
    <w:rsid w:val="00570038"/>
    <w:rsid w:val="00571064"/>
    <w:rsid w:val="005717D8"/>
    <w:rsid w:val="00571FAF"/>
    <w:rsid w:val="0057276C"/>
    <w:rsid w:val="0057394D"/>
    <w:rsid w:val="005742E1"/>
    <w:rsid w:val="00575789"/>
    <w:rsid w:val="005761EE"/>
    <w:rsid w:val="00581418"/>
    <w:rsid w:val="005816E2"/>
    <w:rsid w:val="0058379B"/>
    <w:rsid w:val="00583E3C"/>
    <w:rsid w:val="00584C39"/>
    <w:rsid w:val="00584E41"/>
    <w:rsid w:val="00584EB8"/>
    <w:rsid w:val="00585785"/>
    <w:rsid w:val="005859FE"/>
    <w:rsid w:val="00585F95"/>
    <w:rsid w:val="00595C98"/>
    <w:rsid w:val="005A1776"/>
    <w:rsid w:val="005A3B17"/>
    <w:rsid w:val="005A43F3"/>
    <w:rsid w:val="005A5994"/>
    <w:rsid w:val="005B4B4A"/>
    <w:rsid w:val="005B4BEA"/>
    <w:rsid w:val="005B5D16"/>
    <w:rsid w:val="005B6788"/>
    <w:rsid w:val="005B7ECD"/>
    <w:rsid w:val="005C051F"/>
    <w:rsid w:val="005C0CF2"/>
    <w:rsid w:val="005C1BC2"/>
    <w:rsid w:val="005C36B5"/>
    <w:rsid w:val="005C4E96"/>
    <w:rsid w:val="005C563B"/>
    <w:rsid w:val="005D183D"/>
    <w:rsid w:val="005D3216"/>
    <w:rsid w:val="005D4B11"/>
    <w:rsid w:val="005E037F"/>
    <w:rsid w:val="005E0747"/>
    <w:rsid w:val="005E0910"/>
    <w:rsid w:val="005E0BD0"/>
    <w:rsid w:val="005E2B50"/>
    <w:rsid w:val="005E5B8F"/>
    <w:rsid w:val="005E7D19"/>
    <w:rsid w:val="005F0A14"/>
    <w:rsid w:val="005F0E49"/>
    <w:rsid w:val="005F2517"/>
    <w:rsid w:val="005F3428"/>
    <w:rsid w:val="005F4195"/>
    <w:rsid w:val="005F54D6"/>
    <w:rsid w:val="005F6CC4"/>
    <w:rsid w:val="0060118E"/>
    <w:rsid w:val="006027D3"/>
    <w:rsid w:val="006028F8"/>
    <w:rsid w:val="0060393B"/>
    <w:rsid w:val="00604DF5"/>
    <w:rsid w:val="00605C66"/>
    <w:rsid w:val="00605F4A"/>
    <w:rsid w:val="00610018"/>
    <w:rsid w:val="00611B42"/>
    <w:rsid w:val="00611FA6"/>
    <w:rsid w:val="00612E64"/>
    <w:rsid w:val="00612FF9"/>
    <w:rsid w:val="00615533"/>
    <w:rsid w:val="00615965"/>
    <w:rsid w:val="00617B18"/>
    <w:rsid w:val="00621973"/>
    <w:rsid w:val="00624753"/>
    <w:rsid w:val="00626DBF"/>
    <w:rsid w:val="00626E44"/>
    <w:rsid w:val="00631608"/>
    <w:rsid w:val="0063178A"/>
    <w:rsid w:val="0063206C"/>
    <w:rsid w:val="00632705"/>
    <w:rsid w:val="00632EFF"/>
    <w:rsid w:val="0063438F"/>
    <w:rsid w:val="00634821"/>
    <w:rsid w:val="00634A8D"/>
    <w:rsid w:val="006352C9"/>
    <w:rsid w:val="00637F72"/>
    <w:rsid w:val="00640BC5"/>
    <w:rsid w:val="00641C55"/>
    <w:rsid w:val="00642CE8"/>
    <w:rsid w:val="00646433"/>
    <w:rsid w:val="006469B8"/>
    <w:rsid w:val="00646D07"/>
    <w:rsid w:val="0064709C"/>
    <w:rsid w:val="00652E57"/>
    <w:rsid w:val="006558FF"/>
    <w:rsid w:val="00656570"/>
    <w:rsid w:val="00661AEC"/>
    <w:rsid w:val="00662AE8"/>
    <w:rsid w:val="0066383A"/>
    <w:rsid w:val="00665218"/>
    <w:rsid w:val="00665E9E"/>
    <w:rsid w:val="006759E3"/>
    <w:rsid w:val="006766EE"/>
    <w:rsid w:val="00676ECB"/>
    <w:rsid w:val="00683D30"/>
    <w:rsid w:val="00686574"/>
    <w:rsid w:val="006900F5"/>
    <w:rsid w:val="0069077D"/>
    <w:rsid w:val="00692C6E"/>
    <w:rsid w:val="00693D0C"/>
    <w:rsid w:val="00694C9F"/>
    <w:rsid w:val="00697A31"/>
    <w:rsid w:val="006A0972"/>
    <w:rsid w:val="006A1B41"/>
    <w:rsid w:val="006A237F"/>
    <w:rsid w:val="006A6984"/>
    <w:rsid w:val="006A7085"/>
    <w:rsid w:val="006A77BF"/>
    <w:rsid w:val="006B0E26"/>
    <w:rsid w:val="006B26DC"/>
    <w:rsid w:val="006B3B4C"/>
    <w:rsid w:val="006B5D42"/>
    <w:rsid w:val="006C0772"/>
    <w:rsid w:val="006C12E7"/>
    <w:rsid w:val="006C1833"/>
    <w:rsid w:val="006C33D2"/>
    <w:rsid w:val="006C40E9"/>
    <w:rsid w:val="006C59EE"/>
    <w:rsid w:val="006D0642"/>
    <w:rsid w:val="006D06FD"/>
    <w:rsid w:val="006D0728"/>
    <w:rsid w:val="006D0822"/>
    <w:rsid w:val="006D1D8C"/>
    <w:rsid w:val="006D36FB"/>
    <w:rsid w:val="006D6BC1"/>
    <w:rsid w:val="006D78FA"/>
    <w:rsid w:val="006D7B5E"/>
    <w:rsid w:val="006D7FDD"/>
    <w:rsid w:val="006E0121"/>
    <w:rsid w:val="006E118E"/>
    <w:rsid w:val="006E3C7C"/>
    <w:rsid w:val="006E58DD"/>
    <w:rsid w:val="006F1CF1"/>
    <w:rsid w:val="006F419C"/>
    <w:rsid w:val="006F4F23"/>
    <w:rsid w:val="006F50A3"/>
    <w:rsid w:val="006F5244"/>
    <w:rsid w:val="006F67AC"/>
    <w:rsid w:val="00700675"/>
    <w:rsid w:val="00703ADB"/>
    <w:rsid w:val="00703C12"/>
    <w:rsid w:val="00707A6B"/>
    <w:rsid w:val="007109F6"/>
    <w:rsid w:val="0071445A"/>
    <w:rsid w:val="00716E95"/>
    <w:rsid w:val="00720F30"/>
    <w:rsid w:val="007241E8"/>
    <w:rsid w:val="00724581"/>
    <w:rsid w:val="00725E70"/>
    <w:rsid w:val="00726788"/>
    <w:rsid w:val="00730DEA"/>
    <w:rsid w:val="00731012"/>
    <w:rsid w:val="00731B8B"/>
    <w:rsid w:val="007335A2"/>
    <w:rsid w:val="0073386D"/>
    <w:rsid w:val="0073388E"/>
    <w:rsid w:val="00735FF5"/>
    <w:rsid w:val="00736A84"/>
    <w:rsid w:val="00736B75"/>
    <w:rsid w:val="00737A0F"/>
    <w:rsid w:val="00740205"/>
    <w:rsid w:val="00741263"/>
    <w:rsid w:val="0074570D"/>
    <w:rsid w:val="00747C98"/>
    <w:rsid w:val="0075150C"/>
    <w:rsid w:val="00751A7E"/>
    <w:rsid w:val="00751E33"/>
    <w:rsid w:val="00752F78"/>
    <w:rsid w:val="00760E60"/>
    <w:rsid w:val="0076363B"/>
    <w:rsid w:val="0076392F"/>
    <w:rsid w:val="00764C9A"/>
    <w:rsid w:val="00765720"/>
    <w:rsid w:val="00767D32"/>
    <w:rsid w:val="007701E6"/>
    <w:rsid w:val="00770237"/>
    <w:rsid w:val="00771094"/>
    <w:rsid w:val="00773EF9"/>
    <w:rsid w:val="00775815"/>
    <w:rsid w:val="0078195D"/>
    <w:rsid w:val="00783BB4"/>
    <w:rsid w:val="00784D78"/>
    <w:rsid w:val="00784D98"/>
    <w:rsid w:val="007865B3"/>
    <w:rsid w:val="00795C1C"/>
    <w:rsid w:val="007A0BCB"/>
    <w:rsid w:val="007A0DAF"/>
    <w:rsid w:val="007A1649"/>
    <w:rsid w:val="007A18FF"/>
    <w:rsid w:val="007A228E"/>
    <w:rsid w:val="007A4868"/>
    <w:rsid w:val="007A52C1"/>
    <w:rsid w:val="007A5FB8"/>
    <w:rsid w:val="007A675D"/>
    <w:rsid w:val="007A70C2"/>
    <w:rsid w:val="007B1BBA"/>
    <w:rsid w:val="007B2053"/>
    <w:rsid w:val="007B207C"/>
    <w:rsid w:val="007B2145"/>
    <w:rsid w:val="007B2311"/>
    <w:rsid w:val="007B3977"/>
    <w:rsid w:val="007B3A33"/>
    <w:rsid w:val="007B62CC"/>
    <w:rsid w:val="007B6615"/>
    <w:rsid w:val="007B6AF5"/>
    <w:rsid w:val="007C12B5"/>
    <w:rsid w:val="007C19A5"/>
    <w:rsid w:val="007C2C4D"/>
    <w:rsid w:val="007C319C"/>
    <w:rsid w:val="007C48A3"/>
    <w:rsid w:val="007C572F"/>
    <w:rsid w:val="007C6F66"/>
    <w:rsid w:val="007C763F"/>
    <w:rsid w:val="007C7D4C"/>
    <w:rsid w:val="007D6E6A"/>
    <w:rsid w:val="007D753E"/>
    <w:rsid w:val="007D79EA"/>
    <w:rsid w:val="007E19F8"/>
    <w:rsid w:val="007E2C5C"/>
    <w:rsid w:val="007E36A1"/>
    <w:rsid w:val="007E3773"/>
    <w:rsid w:val="007E6F36"/>
    <w:rsid w:val="007F1EFD"/>
    <w:rsid w:val="007F21AA"/>
    <w:rsid w:val="007F2281"/>
    <w:rsid w:val="007F233C"/>
    <w:rsid w:val="007F2EA9"/>
    <w:rsid w:val="007F4E05"/>
    <w:rsid w:val="007F574E"/>
    <w:rsid w:val="007F658E"/>
    <w:rsid w:val="007F7E64"/>
    <w:rsid w:val="008012C3"/>
    <w:rsid w:val="00801E93"/>
    <w:rsid w:val="008030A1"/>
    <w:rsid w:val="00807006"/>
    <w:rsid w:val="00807AC7"/>
    <w:rsid w:val="00807F00"/>
    <w:rsid w:val="0081026F"/>
    <w:rsid w:val="008104CE"/>
    <w:rsid w:val="00810E14"/>
    <w:rsid w:val="00811952"/>
    <w:rsid w:val="0081268D"/>
    <w:rsid w:val="00813A17"/>
    <w:rsid w:val="00815CC5"/>
    <w:rsid w:val="00815ED8"/>
    <w:rsid w:val="00820453"/>
    <w:rsid w:val="00822543"/>
    <w:rsid w:val="00823066"/>
    <w:rsid w:val="008241B5"/>
    <w:rsid w:val="008249C5"/>
    <w:rsid w:val="00824AC3"/>
    <w:rsid w:val="008251D5"/>
    <w:rsid w:val="00825A8B"/>
    <w:rsid w:val="00832493"/>
    <w:rsid w:val="008326B8"/>
    <w:rsid w:val="008371E6"/>
    <w:rsid w:val="00837E7D"/>
    <w:rsid w:val="00843EF3"/>
    <w:rsid w:val="008446BE"/>
    <w:rsid w:val="008452BD"/>
    <w:rsid w:val="00846B34"/>
    <w:rsid w:val="008509B6"/>
    <w:rsid w:val="00852019"/>
    <w:rsid w:val="00853434"/>
    <w:rsid w:val="00854FA0"/>
    <w:rsid w:val="0085600C"/>
    <w:rsid w:val="00856C31"/>
    <w:rsid w:val="008576F6"/>
    <w:rsid w:val="00870ADA"/>
    <w:rsid w:val="00870B95"/>
    <w:rsid w:val="008733E3"/>
    <w:rsid w:val="00874730"/>
    <w:rsid w:val="00874873"/>
    <w:rsid w:val="00875980"/>
    <w:rsid w:val="00877721"/>
    <w:rsid w:val="00877A22"/>
    <w:rsid w:val="00877AD5"/>
    <w:rsid w:val="00877DFF"/>
    <w:rsid w:val="0088330A"/>
    <w:rsid w:val="00883CFF"/>
    <w:rsid w:val="00884079"/>
    <w:rsid w:val="0088452E"/>
    <w:rsid w:val="00884F44"/>
    <w:rsid w:val="008853EB"/>
    <w:rsid w:val="008859B6"/>
    <w:rsid w:val="00885C18"/>
    <w:rsid w:val="00885E3E"/>
    <w:rsid w:val="00886041"/>
    <w:rsid w:val="00886074"/>
    <w:rsid w:val="00886F6A"/>
    <w:rsid w:val="00887EE1"/>
    <w:rsid w:val="0089150D"/>
    <w:rsid w:val="00893861"/>
    <w:rsid w:val="0089560C"/>
    <w:rsid w:val="00897B27"/>
    <w:rsid w:val="008A1FDF"/>
    <w:rsid w:val="008A58C7"/>
    <w:rsid w:val="008A6500"/>
    <w:rsid w:val="008A6969"/>
    <w:rsid w:val="008A75AD"/>
    <w:rsid w:val="008B1B6A"/>
    <w:rsid w:val="008B4DDD"/>
    <w:rsid w:val="008B608B"/>
    <w:rsid w:val="008C12E7"/>
    <w:rsid w:val="008C3A94"/>
    <w:rsid w:val="008C482E"/>
    <w:rsid w:val="008C61FD"/>
    <w:rsid w:val="008C687C"/>
    <w:rsid w:val="008C7AA1"/>
    <w:rsid w:val="008D065B"/>
    <w:rsid w:val="008D079B"/>
    <w:rsid w:val="008D1BBB"/>
    <w:rsid w:val="008D2206"/>
    <w:rsid w:val="008D272C"/>
    <w:rsid w:val="008D2B79"/>
    <w:rsid w:val="008D4A7E"/>
    <w:rsid w:val="008D57A6"/>
    <w:rsid w:val="008D57EA"/>
    <w:rsid w:val="008D6347"/>
    <w:rsid w:val="008D649C"/>
    <w:rsid w:val="008E02BD"/>
    <w:rsid w:val="008E4538"/>
    <w:rsid w:val="008E79A0"/>
    <w:rsid w:val="008F02AF"/>
    <w:rsid w:val="008F1553"/>
    <w:rsid w:val="008F1A2F"/>
    <w:rsid w:val="008F5258"/>
    <w:rsid w:val="008F66D0"/>
    <w:rsid w:val="00901238"/>
    <w:rsid w:val="009022C1"/>
    <w:rsid w:val="00902B8F"/>
    <w:rsid w:val="009038D4"/>
    <w:rsid w:val="00912207"/>
    <w:rsid w:val="009130E7"/>
    <w:rsid w:val="0091430B"/>
    <w:rsid w:val="00914CB0"/>
    <w:rsid w:val="0091647E"/>
    <w:rsid w:val="00920931"/>
    <w:rsid w:val="00921792"/>
    <w:rsid w:val="00922928"/>
    <w:rsid w:val="00922DAD"/>
    <w:rsid w:val="009234B2"/>
    <w:rsid w:val="00927F74"/>
    <w:rsid w:val="00930077"/>
    <w:rsid w:val="009318D0"/>
    <w:rsid w:val="00933666"/>
    <w:rsid w:val="00934C6F"/>
    <w:rsid w:val="00937B23"/>
    <w:rsid w:val="00940514"/>
    <w:rsid w:val="00944590"/>
    <w:rsid w:val="00945AFF"/>
    <w:rsid w:val="00947696"/>
    <w:rsid w:val="009476D1"/>
    <w:rsid w:val="00950F3F"/>
    <w:rsid w:val="00953A59"/>
    <w:rsid w:val="0095576D"/>
    <w:rsid w:val="0096076F"/>
    <w:rsid w:val="00960FD4"/>
    <w:rsid w:val="00964A9E"/>
    <w:rsid w:val="00965036"/>
    <w:rsid w:val="0096548D"/>
    <w:rsid w:val="009658A6"/>
    <w:rsid w:val="009661FC"/>
    <w:rsid w:val="00966B4A"/>
    <w:rsid w:val="00967E69"/>
    <w:rsid w:val="009701EB"/>
    <w:rsid w:val="009709B5"/>
    <w:rsid w:val="0097262A"/>
    <w:rsid w:val="00973093"/>
    <w:rsid w:val="009732E7"/>
    <w:rsid w:val="009760D7"/>
    <w:rsid w:val="00976CC8"/>
    <w:rsid w:val="00976F24"/>
    <w:rsid w:val="00983610"/>
    <w:rsid w:val="00987B0D"/>
    <w:rsid w:val="00987B4C"/>
    <w:rsid w:val="0099005C"/>
    <w:rsid w:val="009960E3"/>
    <w:rsid w:val="009967AB"/>
    <w:rsid w:val="0099750C"/>
    <w:rsid w:val="009A1EF2"/>
    <w:rsid w:val="009A519F"/>
    <w:rsid w:val="009A59F2"/>
    <w:rsid w:val="009A7488"/>
    <w:rsid w:val="009B0230"/>
    <w:rsid w:val="009B0886"/>
    <w:rsid w:val="009B3820"/>
    <w:rsid w:val="009B4310"/>
    <w:rsid w:val="009B49DB"/>
    <w:rsid w:val="009B5D5E"/>
    <w:rsid w:val="009B6463"/>
    <w:rsid w:val="009C0017"/>
    <w:rsid w:val="009C0137"/>
    <w:rsid w:val="009C1064"/>
    <w:rsid w:val="009C35D4"/>
    <w:rsid w:val="009C5556"/>
    <w:rsid w:val="009D0E3D"/>
    <w:rsid w:val="009D12B3"/>
    <w:rsid w:val="009D357E"/>
    <w:rsid w:val="009D4858"/>
    <w:rsid w:val="009D5B67"/>
    <w:rsid w:val="009E0B73"/>
    <w:rsid w:val="009E34B3"/>
    <w:rsid w:val="009E41D4"/>
    <w:rsid w:val="009E5013"/>
    <w:rsid w:val="009E557B"/>
    <w:rsid w:val="009E6CAC"/>
    <w:rsid w:val="009E7FBE"/>
    <w:rsid w:val="009F1665"/>
    <w:rsid w:val="009F191F"/>
    <w:rsid w:val="009F1B62"/>
    <w:rsid w:val="009F39CA"/>
    <w:rsid w:val="009F7AEF"/>
    <w:rsid w:val="00A00768"/>
    <w:rsid w:val="00A0287D"/>
    <w:rsid w:val="00A044B3"/>
    <w:rsid w:val="00A04502"/>
    <w:rsid w:val="00A046D2"/>
    <w:rsid w:val="00A06C7F"/>
    <w:rsid w:val="00A10712"/>
    <w:rsid w:val="00A12311"/>
    <w:rsid w:val="00A1392A"/>
    <w:rsid w:val="00A13CCB"/>
    <w:rsid w:val="00A13D45"/>
    <w:rsid w:val="00A13F3A"/>
    <w:rsid w:val="00A207BC"/>
    <w:rsid w:val="00A225E6"/>
    <w:rsid w:val="00A259D1"/>
    <w:rsid w:val="00A26512"/>
    <w:rsid w:val="00A3047B"/>
    <w:rsid w:val="00A306AA"/>
    <w:rsid w:val="00A31E36"/>
    <w:rsid w:val="00A3265A"/>
    <w:rsid w:val="00A32B1F"/>
    <w:rsid w:val="00A32EBB"/>
    <w:rsid w:val="00A358F2"/>
    <w:rsid w:val="00A35FBC"/>
    <w:rsid w:val="00A36B4F"/>
    <w:rsid w:val="00A41585"/>
    <w:rsid w:val="00A449BA"/>
    <w:rsid w:val="00A44DD0"/>
    <w:rsid w:val="00A44FA7"/>
    <w:rsid w:val="00A453FB"/>
    <w:rsid w:val="00A5033C"/>
    <w:rsid w:val="00A50485"/>
    <w:rsid w:val="00A524CE"/>
    <w:rsid w:val="00A5326D"/>
    <w:rsid w:val="00A532B8"/>
    <w:rsid w:val="00A53781"/>
    <w:rsid w:val="00A5496D"/>
    <w:rsid w:val="00A55D26"/>
    <w:rsid w:val="00A55E69"/>
    <w:rsid w:val="00A561CB"/>
    <w:rsid w:val="00A61E7D"/>
    <w:rsid w:val="00A625F1"/>
    <w:rsid w:val="00A628E9"/>
    <w:rsid w:val="00A63E2F"/>
    <w:rsid w:val="00A65517"/>
    <w:rsid w:val="00A6561F"/>
    <w:rsid w:val="00A66707"/>
    <w:rsid w:val="00A672E4"/>
    <w:rsid w:val="00A705FD"/>
    <w:rsid w:val="00A7114A"/>
    <w:rsid w:val="00A7221F"/>
    <w:rsid w:val="00A73E40"/>
    <w:rsid w:val="00A74959"/>
    <w:rsid w:val="00A7537E"/>
    <w:rsid w:val="00A7636B"/>
    <w:rsid w:val="00A77CB2"/>
    <w:rsid w:val="00A8053F"/>
    <w:rsid w:val="00A805F7"/>
    <w:rsid w:val="00A8109C"/>
    <w:rsid w:val="00A82544"/>
    <w:rsid w:val="00A826BC"/>
    <w:rsid w:val="00A82A03"/>
    <w:rsid w:val="00A82BDB"/>
    <w:rsid w:val="00A8393D"/>
    <w:rsid w:val="00A83B7A"/>
    <w:rsid w:val="00A87942"/>
    <w:rsid w:val="00A87C4B"/>
    <w:rsid w:val="00A87E84"/>
    <w:rsid w:val="00A91C61"/>
    <w:rsid w:val="00A92136"/>
    <w:rsid w:val="00A92FD8"/>
    <w:rsid w:val="00A93ECF"/>
    <w:rsid w:val="00A9451A"/>
    <w:rsid w:val="00A951D5"/>
    <w:rsid w:val="00AA00CF"/>
    <w:rsid w:val="00AA2EBF"/>
    <w:rsid w:val="00AA35B4"/>
    <w:rsid w:val="00AA3CF1"/>
    <w:rsid w:val="00AA4597"/>
    <w:rsid w:val="00AA465F"/>
    <w:rsid w:val="00AA5460"/>
    <w:rsid w:val="00AA593E"/>
    <w:rsid w:val="00AA6A4B"/>
    <w:rsid w:val="00AB422E"/>
    <w:rsid w:val="00AB4E81"/>
    <w:rsid w:val="00AB5083"/>
    <w:rsid w:val="00AB63E6"/>
    <w:rsid w:val="00AC12F9"/>
    <w:rsid w:val="00AC4DE0"/>
    <w:rsid w:val="00AC6B02"/>
    <w:rsid w:val="00AD0306"/>
    <w:rsid w:val="00AD10A6"/>
    <w:rsid w:val="00AD1B8D"/>
    <w:rsid w:val="00AD22BF"/>
    <w:rsid w:val="00AD692E"/>
    <w:rsid w:val="00AE443E"/>
    <w:rsid w:val="00AE5538"/>
    <w:rsid w:val="00AE6CC4"/>
    <w:rsid w:val="00AF0769"/>
    <w:rsid w:val="00AF1D17"/>
    <w:rsid w:val="00AF1FC5"/>
    <w:rsid w:val="00AF455A"/>
    <w:rsid w:val="00AF5249"/>
    <w:rsid w:val="00AF710C"/>
    <w:rsid w:val="00AF7B2E"/>
    <w:rsid w:val="00B009C1"/>
    <w:rsid w:val="00B02D1D"/>
    <w:rsid w:val="00B03A5C"/>
    <w:rsid w:val="00B067B5"/>
    <w:rsid w:val="00B06B5F"/>
    <w:rsid w:val="00B11F9B"/>
    <w:rsid w:val="00B12001"/>
    <w:rsid w:val="00B126CD"/>
    <w:rsid w:val="00B12F58"/>
    <w:rsid w:val="00B14443"/>
    <w:rsid w:val="00B149E0"/>
    <w:rsid w:val="00B20926"/>
    <w:rsid w:val="00B21EBF"/>
    <w:rsid w:val="00B22EA4"/>
    <w:rsid w:val="00B23075"/>
    <w:rsid w:val="00B234F3"/>
    <w:rsid w:val="00B23F4C"/>
    <w:rsid w:val="00B24442"/>
    <w:rsid w:val="00B275ED"/>
    <w:rsid w:val="00B31C46"/>
    <w:rsid w:val="00B32FBD"/>
    <w:rsid w:val="00B331E3"/>
    <w:rsid w:val="00B3468D"/>
    <w:rsid w:val="00B3503B"/>
    <w:rsid w:val="00B413F4"/>
    <w:rsid w:val="00B42497"/>
    <w:rsid w:val="00B45299"/>
    <w:rsid w:val="00B456E7"/>
    <w:rsid w:val="00B45836"/>
    <w:rsid w:val="00B45B92"/>
    <w:rsid w:val="00B460F7"/>
    <w:rsid w:val="00B469FC"/>
    <w:rsid w:val="00B47619"/>
    <w:rsid w:val="00B51464"/>
    <w:rsid w:val="00B5378A"/>
    <w:rsid w:val="00B569BC"/>
    <w:rsid w:val="00B56A17"/>
    <w:rsid w:val="00B56AF2"/>
    <w:rsid w:val="00B5734D"/>
    <w:rsid w:val="00B63A54"/>
    <w:rsid w:val="00B63E6A"/>
    <w:rsid w:val="00B6669B"/>
    <w:rsid w:val="00B67F76"/>
    <w:rsid w:val="00B702C5"/>
    <w:rsid w:val="00B70A92"/>
    <w:rsid w:val="00B70C44"/>
    <w:rsid w:val="00B71299"/>
    <w:rsid w:val="00B73950"/>
    <w:rsid w:val="00B7451E"/>
    <w:rsid w:val="00B74955"/>
    <w:rsid w:val="00B75A51"/>
    <w:rsid w:val="00B75FA1"/>
    <w:rsid w:val="00B8090A"/>
    <w:rsid w:val="00B81694"/>
    <w:rsid w:val="00B826B5"/>
    <w:rsid w:val="00B8412A"/>
    <w:rsid w:val="00B84803"/>
    <w:rsid w:val="00B85738"/>
    <w:rsid w:val="00B87F13"/>
    <w:rsid w:val="00B90E2F"/>
    <w:rsid w:val="00B91B01"/>
    <w:rsid w:val="00B9577A"/>
    <w:rsid w:val="00B971CF"/>
    <w:rsid w:val="00BA11A9"/>
    <w:rsid w:val="00BA1A52"/>
    <w:rsid w:val="00BA353A"/>
    <w:rsid w:val="00BA3E2E"/>
    <w:rsid w:val="00BA3F88"/>
    <w:rsid w:val="00BA6270"/>
    <w:rsid w:val="00BB252C"/>
    <w:rsid w:val="00BB2638"/>
    <w:rsid w:val="00BB3A38"/>
    <w:rsid w:val="00BB5CAB"/>
    <w:rsid w:val="00BB5CFF"/>
    <w:rsid w:val="00BB6757"/>
    <w:rsid w:val="00BB6DF5"/>
    <w:rsid w:val="00BB71A6"/>
    <w:rsid w:val="00BC0CFF"/>
    <w:rsid w:val="00BC235D"/>
    <w:rsid w:val="00BC3A09"/>
    <w:rsid w:val="00BC44D3"/>
    <w:rsid w:val="00BC50DF"/>
    <w:rsid w:val="00BD0483"/>
    <w:rsid w:val="00BD0573"/>
    <w:rsid w:val="00BD15E3"/>
    <w:rsid w:val="00BD1C94"/>
    <w:rsid w:val="00BD38FD"/>
    <w:rsid w:val="00BD39F4"/>
    <w:rsid w:val="00BD3E9C"/>
    <w:rsid w:val="00BD4589"/>
    <w:rsid w:val="00BD5E24"/>
    <w:rsid w:val="00BE261E"/>
    <w:rsid w:val="00BE4818"/>
    <w:rsid w:val="00BE5626"/>
    <w:rsid w:val="00BE563C"/>
    <w:rsid w:val="00BE5644"/>
    <w:rsid w:val="00BF0D0F"/>
    <w:rsid w:val="00BF37F6"/>
    <w:rsid w:val="00BF42B1"/>
    <w:rsid w:val="00BF44DC"/>
    <w:rsid w:val="00BF5452"/>
    <w:rsid w:val="00BF6E0B"/>
    <w:rsid w:val="00BF75CE"/>
    <w:rsid w:val="00BF7B6D"/>
    <w:rsid w:val="00C01503"/>
    <w:rsid w:val="00C02611"/>
    <w:rsid w:val="00C034F4"/>
    <w:rsid w:val="00C06BBC"/>
    <w:rsid w:val="00C06BBD"/>
    <w:rsid w:val="00C07D0F"/>
    <w:rsid w:val="00C11B06"/>
    <w:rsid w:val="00C14446"/>
    <w:rsid w:val="00C1471E"/>
    <w:rsid w:val="00C15937"/>
    <w:rsid w:val="00C15F87"/>
    <w:rsid w:val="00C17396"/>
    <w:rsid w:val="00C21738"/>
    <w:rsid w:val="00C2174D"/>
    <w:rsid w:val="00C222AA"/>
    <w:rsid w:val="00C2253E"/>
    <w:rsid w:val="00C244C1"/>
    <w:rsid w:val="00C26937"/>
    <w:rsid w:val="00C2736D"/>
    <w:rsid w:val="00C31CEE"/>
    <w:rsid w:val="00C327ED"/>
    <w:rsid w:val="00C32CA0"/>
    <w:rsid w:val="00C365CC"/>
    <w:rsid w:val="00C42944"/>
    <w:rsid w:val="00C42BC4"/>
    <w:rsid w:val="00C44B7D"/>
    <w:rsid w:val="00C45749"/>
    <w:rsid w:val="00C45863"/>
    <w:rsid w:val="00C47925"/>
    <w:rsid w:val="00C506AE"/>
    <w:rsid w:val="00C516BD"/>
    <w:rsid w:val="00C5290D"/>
    <w:rsid w:val="00C5307C"/>
    <w:rsid w:val="00C6063B"/>
    <w:rsid w:val="00C61608"/>
    <w:rsid w:val="00C634CE"/>
    <w:rsid w:val="00C63E77"/>
    <w:rsid w:val="00C661AB"/>
    <w:rsid w:val="00C66946"/>
    <w:rsid w:val="00C7017F"/>
    <w:rsid w:val="00C70423"/>
    <w:rsid w:val="00C7353F"/>
    <w:rsid w:val="00C7467D"/>
    <w:rsid w:val="00C74D4D"/>
    <w:rsid w:val="00C75813"/>
    <w:rsid w:val="00C77261"/>
    <w:rsid w:val="00C77610"/>
    <w:rsid w:val="00C8148C"/>
    <w:rsid w:val="00C81999"/>
    <w:rsid w:val="00C83D1A"/>
    <w:rsid w:val="00C85DB0"/>
    <w:rsid w:val="00C8794A"/>
    <w:rsid w:val="00C90DB4"/>
    <w:rsid w:val="00C91394"/>
    <w:rsid w:val="00C939B4"/>
    <w:rsid w:val="00C96434"/>
    <w:rsid w:val="00C97862"/>
    <w:rsid w:val="00CA1B48"/>
    <w:rsid w:val="00CA2E43"/>
    <w:rsid w:val="00CA307E"/>
    <w:rsid w:val="00CA4276"/>
    <w:rsid w:val="00CA622E"/>
    <w:rsid w:val="00CA7076"/>
    <w:rsid w:val="00CB0D03"/>
    <w:rsid w:val="00CB0EC1"/>
    <w:rsid w:val="00CB362E"/>
    <w:rsid w:val="00CB51DC"/>
    <w:rsid w:val="00CB5574"/>
    <w:rsid w:val="00CB668A"/>
    <w:rsid w:val="00CC2047"/>
    <w:rsid w:val="00CC21D2"/>
    <w:rsid w:val="00CC2AB4"/>
    <w:rsid w:val="00CC4D7A"/>
    <w:rsid w:val="00CC67A5"/>
    <w:rsid w:val="00CC784F"/>
    <w:rsid w:val="00CC7E17"/>
    <w:rsid w:val="00CD2039"/>
    <w:rsid w:val="00CD207B"/>
    <w:rsid w:val="00CD2841"/>
    <w:rsid w:val="00CD3BCA"/>
    <w:rsid w:val="00CD5586"/>
    <w:rsid w:val="00CE092B"/>
    <w:rsid w:val="00CE125E"/>
    <w:rsid w:val="00CE13E8"/>
    <w:rsid w:val="00CE142B"/>
    <w:rsid w:val="00CE3C25"/>
    <w:rsid w:val="00CE3DBE"/>
    <w:rsid w:val="00CE3DCA"/>
    <w:rsid w:val="00CE4CEC"/>
    <w:rsid w:val="00CE5242"/>
    <w:rsid w:val="00CE6144"/>
    <w:rsid w:val="00CE6D2D"/>
    <w:rsid w:val="00CE70D5"/>
    <w:rsid w:val="00CF07AD"/>
    <w:rsid w:val="00CF16C9"/>
    <w:rsid w:val="00CF29C4"/>
    <w:rsid w:val="00CF33C5"/>
    <w:rsid w:val="00CF56AB"/>
    <w:rsid w:val="00D0114A"/>
    <w:rsid w:val="00D01F1D"/>
    <w:rsid w:val="00D02346"/>
    <w:rsid w:val="00D02E9C"/>
    <w:rsid w:val="00D04623"/>
    <w:rsid w:val="00D05E28"/>
    <w:rsid w:val="00D1095E"/>
    <w:rsid w:val="00D11A6C"/>
    <w:rsid w:val="00D11D30"/>
    <w:rsid w:val="00D12D29"/>
    <w:rsid w:val="00D1456E"/>
    <w:rsid w:val="00D14AF4"/>
    <w:rsid w:val="00D1686A"/>
    <w:rsid w:val="00D2206A"/>
    <w:rsid w:val="00D224FB"/>
    <w:rsid w:val="00D23D1C"/>
    <w:rsid w:val="00D24548"/>
    <w:rsid w:val="00D24F3C"/>
    <w:rsid w:val="00D25CBF"/>
    <w:rsid w:val="00D25DC1"/>
    <w:rsid w:val="00D2676E"/>
    <w:rsid w:val="00D269F6"/>
    <w:rsid w:val="00D2741C"/>
    <w:rsid w:val="00D3040B"/>
    <w:rsid w:val="00D31645"/>
    <w:rsid w:val="00D32608"/>
    <w:rsid w:val="00D32A0D"/>
    <w:rsid w:val="00D33D18"/>
    <w:rsid w:val="00D346EB"/>
    <w:rsid w:val="00D3613D"/>
    <w:rsid w:val="00D36D11"/>
    <w:rsid w:val="00D37AAD"/>
    <w:rsid w:val="00D37B03"/>
    <w:rsid w:val="00D4045B"/>
    <w:rsid w:val="00D429BA"/>
    <w:rsid w:val="00D42B6A"/>
    <w:rsid w:val="00D43D24"/>
    <w:rsid w:val="00D43D98"/>
    <w:rsid w:val="00D44748"/>
    <w:rsid w:val="00D47E0A"/>
    <w:rsid w:val="00D506FB"/>
    <w:rsid w:val="00D50B0C"/>
    <w:rsid w:val="00D518B2"/>
    <w:rsid w:val="00D51C20"/>
    <w:rsid w:val="00D51CC5"/>
    <w:rsid w:val="00D54D44"/>
    <w:rsid w:val="00D5582D"/>
    <w:rsid w:val="00D60E95"/>
    <w:rsid w:val="00D61400"/>
    <w:rsid w:val="00D61793"/>
    <w:rsid w:val="00D6295B"/>
    <w:rsid w:val="00D67FA5"/>
    <w:rsid w:val="00D70CDF"/>
    <w:rsid w:val="00D712AF"/>
    <w:rsid w:val="00D7162A"/>
    <w:rsid w:val="00D72A33"/>
    <w:rsid w:val="00D72B2C"/>
    <w:rsid w:val="00D73119"/>
    <w:rsid w:val="00D7393D"/>
    <w:rsid w:val="00D74B48"/>
    <w:rsid w:val="00D74C61"/>
    <w:rsid w:val="00D764F7"/>
    <w:rsid w:val="00D7718A"/>
    <w:rsid w:val="00D80B48"/>
    <w:rsid w:val="00D80FD3"/>
    <w:rsid w:val="00D8307B"/>
    <w:rsid w:val="00D8444B"/>
    <w:rsid w:val="00D877E5"/>
    <w:rsid w:val="00D90A12"/>
    <w:rsid w:val="00D91008"/>
    <w:rsid w:val="00D931B1"/>
    <w:rsid w:val="00D952B1"/>
    <w:rsid w:val="00D96B4C"/>
    <w:rsid w:val="00D96BCE"/>
    <w:rsid w:val="00D97518"/>
    <w:rsid w:val="00DA0314"/>
    <w:rsid w:val="00DA1CB5"/>
    <w:rsid w:val="00DA2E8B"/>
    <w:rsid w:val="00DA36CC"/>
    <w:rsid w:val="00DA4404"/>
    <w:rsid w:val="00DA51F0"/>
    <w:rsid w:val="00DB115C"/>
    <w:rsid w:val="00DB48F4"/>
    <w:rsid w:val="00DB6C26"/>
    <w:rsid w:val="00DB7721"/>
    <w:rsid w:val="00DC0534"/>
    <w:rsid w:val="00DC09AA"/>
    <w:rsid w:val="00DC1EC6"/>
    <w:rsid w:val="00DC3C5B"/>
    <w:rsid w:val="00DC5C4E"/>
    <w:rsid w:val="00DD06D7"/>
    <w:rsid w:val="00DD1B0B"/>
    <w:rsid w:val="00DD2D04"/>
    <w:rsid w:val="00DD3D78"/>
    <w:rsid w:val="00DD5AF1"/>
    <w:rsid w:val="00DD61B4"/>
    <w:rsid w:val="00DD6337"/>
    <w:rsid w:val="00DD64CA"/>
    <w:rsid w:val="00DE03BB"/>
    <w:rsid w:val="00DE07BD"/>
    <w:rsid w:val="00DE09F2"/>
    <w:rsid w:val="00DE0D3B"/>
    <w:rsid w:val="00DE3498"/>
    <w:rsid w:val="00DE351C"/>
    <w:rsid w:val="00DE36BB"/>
    <w:rsid w:val="00DF1BA8"/>
    <w:rsid w:val="00DF29A8"/>
    <w:rsid w:val="00DF2BF4"/>
    <w:rsid w:val="00DF2D46"/>
    <w:rsid w:val="00DF2E1F"/>
    <w:rsid w:val="00DF3BE1"/>
    <w:rsid w:val="00DF41B2"/>
    <w:rsid w:val="00DF5690"/>
    <w:rsid w:val="00DF6A3A"/>
    <w:rsid w:val="00E0144E"/>
    <w:rsid w:val="00E0248F"/>
    <w:rsid w:val="00E024DC"/>
    <w:rsid w:val="00E04219"/>
    <w:rsid w:val="00E06D02"/>
    <w:rsid w:val="00E1235E"/>
    <w:rsid w:val="00E12653"/>
    <w:rsid w:val="00E134C0"/>
    <w:rsid w:val="00E138F7"/>
    <w:rsid w:val="00E14687"/>
    <w:rsid w:val="00E16A44"/>
    <w:rsid w:val="00E17747"/>
    <w:rsid w:val="00E20C96"/>
    <w:rsid w:val="00E22F2A"/>
    <w:rsid w:val="00E24B08"/>
    <w:rsid w:val="00E30385"/>
    <w:rsid w:val="00E3053E"/>
    <w:rsid w:val="00E30602"/>
    <w:rsid w:val="00E30853"/>
    <w:rsid w:val="00E31800"/>
    <w:rsid w:val="00E3181D"/>
    <w:rsid w:val="00E31EDB"/>
    <w:rsid w:val="00E32CC0"/>
    <w:rsid w:val="00E37202"/>
    <w:rsid w:val="00E404C2"/>
    <w:rsid w:val="00E42D73"/>
    <w:rsid w:val="00E42F5B"/>
    <w:rsid w:val="00E4452A"/>
    <w:rsid w:val="00E45438"/>
    <w:rsid w:val="00E45FAF"/>
    <w:rsid w:val="00E46AD4"/>
    <w:rsid w:val="00E47FE9"/>
    <w:rsid w:val="00E50482"/>
    <w:rsid w:val="00E50AE7"/>
    <w:rsid w:val="00E510A1"/>
    <w:rsid w:val="00E530EC"/>
    <w:rsid w:val="00E561DE"/>
    <w:rsid w:val="00E569AB"/>
    <w:rsid w:val="00E60526"/>
    <w:rsid w:val="00E608D0"/>
    <w:rsid w:val="00E6308C"/>
    <w:rsid w:val="00E64B32"/>
    <w:rsid w:val="00E67362"/>
    <w:rsid w:val="00E67498"/>
    <w:rsid w:val="00E67FB0"/>
    <w:rsid w:val="00E7046C"/>
    <w:rsid w:val="00E70545"/>
    <w:rsid w:val="00E723D2"/>
    <w:rsid w:val="00E73DCC"/>
    <w:rsid w:val="00E76835"/>
    <w:rsid w:val="00E77977"/>
    <w:rsid w:val="00E8484E"/>
    <w:rsid w:val="00E9232E"/>
    <w:rsid w:val="00E927FC"/>
    <w:rsid w:val="00E94324"/>
    <w:rsid w:val="00E956F3"/>
    <w:rsid w:val="00E95F5C"/>
    <w:rsid w:val="00EA1323"/>
    <w:rsid w:val="00EA13D3"/>
    <w:rsid w:val="00EA155A"/>
    <w:rsid w:val="00EA1925"/>
    <w:rsid w:val="00EA25C4"/>
    <w:rsid w:val="00EA30A1"/>
    <w:rsid w:val="00EA47AC"/>
    <w:rsid w:val="00EA61F2"/>
    <w:rsid w:val="00EA7A7C"/>
    <w:rsid w:val="00EB1003"/>
    <w:rsid w:val="00EB2E86"/>
    <w:rsid w:val="00EB4FB3"/>
    <w:rsid w:val="00EB56A6"/>
    <w:rsid w:val="00EB62CE"/>
    <w:rsid w:val="00EB6BAC"/>
    <w:rsid w:val="00EB7590"/>
    <w:rsid w:val="00EC18A5"/>
    <w:rsid w:val="00EC4107"/>
    <w:rsid w:val="00EC44AE"/>
    <w:rsid w:val="00EC71F6"/>
    <w:rsid w:val="00EC7DB3"/>
    <w:rsid w:val="00ED03C7"/>
    <w:rsid w:val="00ED0B3B"/>
    <w:rsid w:val="00ED10E5"/>
    <w:rsid w:val="00ED1583"/>
    <w:rsid w:val="00ED1A75"/>
    <w:rsid w:val="00ED3354"/>
    <w:rsid w:val="00ED3FB5"/>
    <w:rsid w:val="00ED45FE"/>
    <w:rsid w:val="00ED4D45"/>
    <w:rsid w:val="00ED67F3"/>
    <w:rsid w:val="00EE026A"/>
    <w:rsid w:val="00EE09CC"/>
    <w:rsid w:val="00EE0C64"/>
    <w:rsid w:val="00EE0E4B"/>
    <w:rsid w:val="00EE1FCE"/>
    <w:rsid w:val="00EE583A"/>
    <w:rsid w:val="00EE5A73"/>
    <w:rsid w:val="00EE5B92"/>
    <w:rsid w:val="00EE5F29"/>
    <w:rsid w:val="00EF1848"/>
    <w:rsid w:val="00EF7814"/>
    <w:rsid w:val="00F00C09"/>
    <w:rsid w:val="00F00FE3"/>
    <w:rsid w:val="00F011B1"/>
    <w:rsid w:val="00F03673"/>
    <w:rsid w:val="00F03BEC"/>
    <w:rsid w:val="00F05E21"/>
    <w:rsid w:val="00F131AE"/>
    <w:rsid w:val="00F13744"/>
    <w:rsid w:val="00F13F6A"/>
    <w:rsid w:val="00F16F7D"/>
    <w:rsid w:val="00F20214"/>
    <w:rsid w:val="00F20AF8"/>
    <w:rsid w:val="00F21EE4"/>
    <w:rsid w:val="00F22577"/>
    <w:rsid w:val="00F22736"/>
    <w:rsid w:val="00F2441F"/>
    <w:rsid w:val="00F2497E"/>
    <w:rsid w:val="00F2662D"/>
    <w:rsid w:val="00F26675"/>
    <w:rsid w:val="00F3274F"/>
    <w:rsid w:val="00F32EB3"/>
    <w:rsid w:val="00F3733F"/>
    <w:rsid w:val="00F37E0E"/>
    <w:rsid w:val="00F4019B"/>
    <w:rsid w:val="00F40512"/>
    <w:rsid w:val="00F41BFC"/>
    <w:rsid w:val="00F41EA4"/>
    <w:rsid w:val="00F42ADF"/>
    <w:rsid w:val="00F47E4F"/>
    <w:rsid w:val="00F51ED5"/>
    <w:rsid w:val="00F5312A"/>
    <w:rsid w:val="00F53A2D"/>
    <w:rsid w:val="00F54059"/>
    <w:rsid w:val="00F57293"/>
    <w:rsid w:val="00F57848"/>
    <w:rsid w:val="00F57E5E"/>
    <w:rsid w:val="00F6059B"/>
    <w:rsid w:val="00F610B0"/>
    <w:rsid w:val="00F61A34"/>
    <w:rsid w:val="00F61C20"/>
    <w:rsid w:val="00F61CDA"/>
    <w:rsid w:val="00F63707"/>
    <w:rsid w:val="00F66FDC"/>
    <w:rsid w:val="00F705D3"/>
    <w:rsid w:val="00F71CE0"/>
    <w:rsid w:val="00F72E5A"/>
    <w:rsid w:val="00F76861"/>
    <w:rsid w:val="00F81931"/>
    <w:rsid w:val="00F82610"/>
    <w:rsid w:val="00F82E91"/>
    <w:rsid w:val="00F832CA"/>
    <w:rsid w:val="00F83DDB"/>
    <w:rsid w:val="00F86C79"/>
    <w:rsid w:val="00F87B09"/>
    <w:rsid w:val="00F9099A"/>
    <w:rsid w:val="00F9267F"/>
    <w:rsid w:val="00F95EB6"/>
    <w:rsid w:val="00F97049"/>
    <w:rsid w:val="00F970ED"/>
    <w:rsid w:val="00FA106F"/>
    <w:rsid w:val="00FA11BC"/>
    <w:rsid w:val="00FA12FA"/>
    <w:rsid w:val="00FA1CBF"/>
    <w:rsid w:val="00FA3B8F"/>
    <w:rsid w:val="00FA45C8"/>
    <w:rsid w:val="00FA523E"/>
    <w:rsid w:val="00FA5C1F"/>
    <w:rsid w:val="00FA6811"/>
    <w:rsid w:val="00FA70A7"/>
    <w:rsid w:val="00FA7543"/>
    <w:rsid w:val="00FB2AEF"/>
    <w:rsid w:val="00FB2F37"/>
    <w:rsid w:val="00FB41B4"/>
    <w:rsid w:val="00FB4D9E"/>
    <w:rsid w:val="00FB5685"/>
    <w:rsid w:val="00FB5C7B"/>
    <w:rsid w:val="00FB7A2D"/>
    <w:rsid w:val="00FC0459"/>
    <w:rsid w:val="00FC28C6"/>
    <w:rsid w:val="00FC30BC"/>
    <w:rsid w:val="00FC361F"/>
    <w:rsid w:val="00FC3678"/>
    <w:rsid w:val="00FC43E9"/>
    <w:rsid w:val="00FC74A2"/>
    <w:rsid w:val="00FD1525"/>
    <w:rsid w:val="00FD1AD0"/>
    <w:rsid w:val="00FD47E8"/>
    <w:rsid w:val="00FD5619"/>
    <w:rsid w:val="00FD5C3D"/>
    <w:rsid w:val="00FD77E6"/>
    <w:rsid w:val="00FD786D"/>
    <w:rsid w:val="00FE27CF"/>
    <w:rsid w:val="00FE57B4"/>
    <w:rsid w:val="00FE663E"/>
    <w:rsid w:val="00FF07E5"/>
    <w:rsid w:val="00FF20E8"/>
    <w:rsid w:val="00FF30A4"/>
    <w:rsid w:val="00FF3501"/>
    <w:rsid w:val="00FF5031"/>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4F6D52"/>
  <w15:docId w15:val="{A4CD471F-88EB-4606-AA98-0A0F31771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1" w:line="258" w:lineRule="auto"/>
      <w:ind w:left="437" w:right="462" w:hanging="10"/>
      <w:jc w:val="both"/>
    </w:pPr>
    <w:rPr>
      <w:rFonts w:ascii="Calibri" w:eastAsia="Calibri" w:hAnsi="Calibri" w:cs="Calibri"/>
      <w:color w:val="000000"/>
    </w:rPr>
  </w:style>
  <w:style w:type="paragraph" w:styleId="Titolo1">
    <w:name w:val="heading 1"/>
    <w:next w:val="Normale"/>
    <w:link w:val="Titolo1Carattere"/>
    <w:uiPriority w:val="9"/>
    <w:qFormat/>
    <w:pPr>
      <w:keepNext/>
      <w:keepLines/>
      <w:spacing w:after="159"/>
      <w:ind w:left="798" w:hanging="10"/>
      <w:outlineLvl w:val="0"/>
    </w:pPr>
    <w:rPr>
      <w:rFonts w:ascii="Calibri" w:eastAsia="Calibri" w:hAnsi="Calibri" w:cs="Calibri"/>
      <w:color w:val="000000"/>
      <w:u w:val="single" w:color="000000"/>
    </w:rPr>
  </w:style>
  <w:style w:type="paragraph" w:styleId="Titolo2">
    <w:name w:val="heading 2"/>
    <w:next w:val="Normale"/>
    <w:link w:val="Titolo2Carattere"/>
    <w:uiPriority w:val="9"/>
    <w:unhideWhenUsed/>
    <w:qFormat/>
    <w:pPr>
      <w:keepNext/>
      <w:keepLines/>
      <w:spacing w:after="159"/>
      <w:ind w:left="437" w:hanging="10"/>
      <w:outlineLvl w:val="1"/>
    </w:pPr>
    <w:rPr>
      <w:rFonts w:ascii="Calibri" w:eastAsia="Calibri" w:hAnsi="Calibri" w:cs="Calibri"/>
      <w:b/>
      <w:color w:val="000000"/>
    </w:rPr>
  </w:style>
  <w:style w:type="paragraph" w:styleId="Titolo3">
    <w:name w:val="heading 3"/>
    <w:basedOn w:val="Normale"/>
    <w:next w:val="Normale"/>
    <w:link w:val="Titolo3Carattere"/>
    <w:uiPriority w:val="9"/>
    <w:unhideWhenUsed/>
    <w:qFormat/>
    <w:rsid w:val="000D574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Calibri" w:eastAsia="Calibri" w:hAnsi="Calibri" w:cs="Calibri"/>
      <w:color w:val="000000"/>
      <w:sz w:val="22"/>
      <w:u w:val="single" w:color="000000"/>
    </w:rPr>
  </w:style>
  <w:style w:type="character" w:customStyle="1" w:styleId="Titolo2Carattere">
    <w:name w:val="Titolo 2 Carattere"/>
    <w:link w:val="Titolo2"/>
    <w:rPr>
      <w:rFonts w:ascii="Calibri" w:eastAsia="Calibri" w:hAnsi="Calibri" w:cs="Calibri"/>
      <w:b/>
      <w:color w:val="000000"/>
      <w:sz w:val="22"/>
    </w:rPr>
  </w:style>
  <w:style w:type="paragraph" w:styleId="Paragrafoelenco">
    <w:name w:val="List Paragraph"/>
    <w:basedOn w:val="Normale"/>
    <w:uiPriority w:val="34"/>
    <w:qFormat/>
    <w:rsid w:val="00F20AF8"/>
    <w:pPr>
      <w:ind w:left="720"/>
      <w:contextualSpacing/>
    </w:pPr>
  </w:style>
  <w:style w:type="character" w:styleId="Collegamentoipertestuale">
    <w:name w:val="Hyperlink"/>
    <w:basedOn w:val="Carpredefinitoparagrafo"/>
    <w:uiPriority w:val="99"/>
    <w:unhideWhenUsed/>
    <w:rsid w:val="00B8412A"/>
    <w:rPr>
      <w:color w:val="0563C1" w:themeColor="hyperlink"/>
      <w:u w:val="single"/>
    </w:rPr>
  </w:style>
  <w:style w:type="character" w:styleId="Menzionenonrisolta">
    <w:name w:val="Unresolved Mention"/>
    <w:basedOn w:val="Carpredefinitoparagrafo"/>
    <w:uiPriority w:val="99"/>
    <w:semiHidden/>
    <w:unhideWhenUsed/>
    <w:rsid w:val="00B8412A"/>
    <w:rPr>
      <w:color w:val="605E5C"/>
      <w:shd w:val="clear" w:color="auto" w:fill="E1DFDD"/>
    </w:rPr>
  </w:style>
  <w:style w:type="paragraph" w:styleId="Testonotaapidipagina">
    <w:name w:val="footnote text"/>
    <w:basedOn w:val="Normale"/>
    <w:link w:val="TestonotaapidipaginaCarattere"/>
    <w:uiPriority w:val="99"/>
    <w:unhideWhenUsed/>
    <w:rsid w:val="0069077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69077D"/>
    <w:rPr>
      <w:rFonts w:ascii="Calibri" w:eastAsia="Calibri" w:hAnsi="Calibri" w:cs="Calibri"/>
      <w:color w:val="000000"/>
      <w:sz w:val="20"/>
      <w:szCs w:val="20"/>
    </w:rPr>
  </w:style>
  <w:style w:type="character" w:styleId="Rimandonotaapidipagina">
    <w:name w:val="footnote reference"/>
    <w:aliases w:val="Footnote,Footnote symbol,Nota,Footnote number,de nota al pie,Ref,Char,SUPERS,Voetnootmarkering,Char1,fr,o,(NECG) Footnote Reference,Times 10 Point,Exposant 3 Point,Footnote Reference Number,Footnote reference number,FR"/>
    <w:basedOn w:val="Carpredefinitoparagrafo"/>
    <w:uiPriority w:val="99"/>
    <w:semiHidden/>
    <w:unhideWhenUsed/>
    <w:rsid w:val="0069077D"/>
    <w:rPr>
      <w:vertAlign w:val="superscript"/>
    </w:rPr>
  </w:style>
  <w:style w:type="character" w:styleId="Rimandocommento">
    <w:name w:val="annotation reference"/>
    <w:basedOn w:val="Carpredefinitoparagrafo"/>
    <w:uiPriority w:val="99"/>
    <w:semiHidden/>
    <w:unhideWhenUsed/>
    <w:rsid w:val="00887EE1"/>
    <w:rPr>
      <w:sz w:val="16"/>
      <w:szCs w:val="16"/>
    </w:rPr>
  </w:style>
  <w:style w:type="paragraph" w:styleId="Testocommento">
    <w:name w:val="annotation text"/>
    <w:basedOn w:val="Normale"/>
    <w:link w:val="TestocommentoCarattere"/>
    <w:uiPriority w:val="99"/>
    <w:unhideWhenUsed/>
    <w:rsid w:val="00887EE1"/>
    <w:pPr>
      <w:spacing w:line="240" w:lineRule="auto"/>
    </w:pPr>
    <w:rPr>
      <w:sz w:val="20"/>
      <w:szCs w:val="20"/>
    </w:rPr>
  </w:style>
  <w:style w:type="character" w:customStyle="1" w:styleId="TestocommentoCarattere">
    <w:name w:val="Testo commento Carattere"/>
    <w:basedOn w:val="Carpredefinitoparagrafo"/>
    <w:link w:val="Testocommento"/>
    <w:uiPriority w:val="99"/>
    <w:rsid w:val="00887EE1"/>
    <w:rPr>
      <w:rFonts w:ascii="Calibri" w:eastAsia="Calibri" w:hAnsi="Calibri" w:cs="Calibri"/>
      <w:color w:val="000000"/>
      <w:sz w:val="20"/>
      <w:szCs w:val="20"/>
    </w:rPr>
  </w:style>
  <w:style w:type="paragraph" w:styleId="Soggettocommento">
    <w:name w:val="annotation subject"/>
    <w:basedOn w:val="Testocommento"/>
    <w:next w:val="Testocommento"/>
    <w:link w:val="SoggettocommentoCarattere"/>
    <w:uiPriority w:val="99"/>
    <w:semiHidden/>
    <w:unhideWhenUsed/>
    <w:rsid w:val="00887EE1"/>
    <w:rPr>
      <w:b/>
      <w:bCs/>
    </w:rPr>
  </w:style>
  <w:style w:type="character" w:customStyle="1" w:styleId="SoggettocommentoCarattere">
    <w:name w:val="Soggetto commento Carattere"/>
    <w:basedOn w:val="TestocommentoCarattere"/>
    <w:link w:val="Soggettocommento"/>
    <w:uiPriority w:val="99"/>
    <w:semiHidden/>
    <w:rsid w:val="00887EE1"/>
    <w:rPr>
      <w:rFonts w:ascii="Calibri" w:eastAsia="Calibri" w:hAnsi="Calibri" w:cs="Calibri"/>
      <w:b/>
      <w:bCs/>
      <w:color w:val="000000"/>
      <w:sz w:val="20"/>
      <w:szCs w:val="20"/>
    </w:rPr>
  </w:style>
  <w:style w:type="character" w:styleId="Collegamentovisitato">
    <w:name w:val="FollowedHyperlink"/>
    <w:basedOn w:val="Carpredefinitoparagrafo"/>
    <w:uiPriority w:val="99"/>
    <w:semiHidden/>
    <w:unhideWhenUsed/>
    <w:rsid w:val="000D4B57"/>
    <w:rPr>
      <w:color w:val="954F72" w:themeColor="followedHyperlink"/>
      <w:u w:val="single"/>
    </w:rPr>
  </w:style>
  <w:style w:type="paragraph" w:styleId="Revisione">
    <w:name w:val="Revision"/>
    <w:hidden/>
    <w:uiPriority w:val="99"/>
    <w:semiHidden/>
    <w:rsid w:val="006352C9"/>
    <w:pPr>
      <w:spacing w:after="0" w:line="240" w:lineRule="auto"/>
    </w:pPr>
    <w:rPr>
      <w:rFonts w:ascii="Calibri" w:eastAsia="Calibri" w:hAnsi="Calibri" w:cs="Calibri"/>
      <w:color w:val="000000"/>
    </w:rPr>
  </w:style>
  <w:style w:type="paragraph" w:styleId="Intestazione">
    <w:name w:val="header"/>
    <w:basedOn w:val="Normale"/>
    <w:link w:val="IntestazioneCarattere"/>
    <w:uiPriority w:val="99"/>
    <w:semiHidden/>
    <w:unhideWhenUsed/>
    <w:rsid w:val="007E36A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E36A1"/>
    <w:rPr>
      <w:rFonts w:ascii="Calibri" w:eastAsia="Calibri" w:hAnsi="Calibri" w:cs="Calibri"/>
      <w:color w:val="000000"/>
    </w:rPr>
  </w:style>
  <w:style w:type="paragraph" w:styleId="Pidipagina">
    <w:name w:val="footer"/>
    <w:basedOn w:val="Normale"/>
    <w:link w:val="PidipaginaCarattere"/>
    <w:uiPriority w:val="99"/>
    <w:unhideWhenUsed/>
    <w:rsid w:val="007E36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E36A1"/>
    <w:rPr>
      <w:rFonts w:ascii="Calibri" w:eastAsia="Calibri" w:hAnsi="Calibri" w:cs="Calibri"/>
      <w:color w:val="000000"/>
    </w:rPr>
  </w:style>
  <w:style w:type="paragraph" w:styleId="Titolosommario">
    <w:name w:val="TOC Heading"/>
    <w:basedOn w:val="Titolo1"/>
    <w:next w:val="Normale"/>
    <w:uiPriority w:val="39"/>
    <w:unhideWhenUsed/>
    <w:qFormat/>
    <w:rsid w:val="003F5F05"/>
    <w:pPr>
      <w:spacing w:before="240" w:after="0"/>
      <w:ind w:left="0" w:firstLine="0"/>
      <w:outlineLvl w:val="9"/>
    </w:pPr>
    <w:rPr>
      <w:rFonts w:asciiTheme="majorHAnsi" w:eastAsiaTheme="majorEastAsia" w:hAnsiTheme="majorHAnsi" w:cstheme="majorBidi"/>
      <w:color w:val="2F5496" w:themeColor="accent1" w:themeShade="BF"/>
      <w:sz w:val="32"/>
      <w:szCs w:val="32"/>
      <w:u w:val="none"/>
    </w:rPr>
  </w:style>
  <w:style w:type="paragraph" w:styleId="Sommario1">
    <w:name w:val="toc 1"/>
    <w:basedOn w:val="Normale"/>
    <w:next w:val="Normale"/>
    <w:autoRedefine/>
    <w:uiPriority w:val="39"/>
    <w:unhideWhenUsed/>
    <w:rsid w:val="00B73950"/>
    <w:pPr>
      <w:tabs>
        <w:tab w:val="left" w:pos="440"/>
        <w:tab w:val="right" w:leader="dot" w:pos="10519"/>
      </w:tabs>
      <w:spacing w:after="100"/>
      <w:ind w:left="0" w:firstLine="0"/>
    </w:pPr>
  </w:style>
  <w:style w:type="paragraph" w:styleId="Sommario2">
    <w:name w:val="toc 2"/>
    <w:basedOn w:val="Normale"/>
    <w:next w:val="Normale"/>
    <w:autoRedefine/>
    <w:uiPriority w:val="39"/>
    <w:unhideWhenUsed/>
    <w:rsid w:val="003F5F05"/>
    <w:pPr>
      <w:spacing w:after="100"/>
      <w:ind w:left="220"/>
    </w:pPr>
  </w:style>
  <w:style w:type="paragraph" w:styleId="Testofumetto">
    <w:name w:val="Balloon Text"/>
    <w:basedOn w:val="Normale"/>
    <w:link w:val="TestofumettoCarattere"/>
    <w:uiPriority w:val="99"/>
    <w:semiHidden/>
    <w:unhideWhenUsed/>
    <w:rsid w:val="0096548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6548D"/>
    <w:rPr>
      <w:rFonts w:ascii="Segoe UI" w:eastAsia="Calibri" w:hAnsi="Segoe UI" w:cs="Segoe UI"/>
      <w:color w:val="000000"/>
      <w:sz w:val="18"/>
      <w:szCs w:val="18"/>
    </w:rPr>
  </w:style>
  <w:style w:type="paragraph" w:customStyle="1" w:styleId="Default">
    <w:name w:val="Default"/>
    <w:rsid w:val="00C244C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3Carattere">
    <w:name w:val="Titolo 3 Carattere"/>
    <w:basedOn w:val="Carpredefinitoparagrafo"/>
    <w:link w:val="Titolo3"/>
    <w:uiPriority w:val="9"/>
    <w:rsid w:val="000D574C"/>
    <w:rPr>
      <w:rFonts w:asciiTheme="majorHAnsi" w:eastAsiaTheme="majorEastAsia" w:hAnsiTheme="majorHAnsi" w:cstheme="majorBidi"/>
      <w:color w:val="1F3763" w:themeColor="accent1" w:themeShade="7F"/>
      <w:sz w:val="24"/>
      <w:szCs w:val="24"/>
    </w:rPr>
  </w:style>
  <w:style w:type="paragraph" w:styleId="Sommario3">
    <w:name w:val="toc 3"/>
    <w:basedOn w:val="Normale"/>
    <w:next w:val="Normale"/>
    <w:autoRedefine/>
    <w:uiPriority w:val="39"/>
    <w:unhideWhenUsed/>
    <w:rsid w:val="000D574C"/>
    <w:pPr>
      <w:tabs>
        <w:tab w:val="right" w:leader="dot" w:pos="10519"/>
      </w:tabs>
      <w:spacing w:after="100"/>
      <w:ind w:left="440"/>
    </w:pPr>
    <w:rPr>
      <w:noProof/>
    </w:rPr>
  </w:style>
  <w:style w:type="paragraph" w:styleId="Nessunaspaziatura">
    <w:name w:val="No Spacing"/>
    <w:uiPriority w:val="1"/>
    <w:qFormat/>
    <w:rsid w:val="00F66FDC"/>
    <w:pPr>
      <w:spacing w:after="0" w:line="240" w:lineRule="auto"/>
      <w:ind w:left="437" w:right="462" w:hanging="10"/>
      <w:jc w:val="both"/>
    </w:pPr>
    <w:rPr>
      <w:rFonts w:ascii="Calibri" w:eastAsia="Calibri" w:hAnsi="Calibri" w:cs="Calibri"/>
      <w:color w:val="000000"/>
    </w:rPr>
  </w:style>
  <w:style w:type="character" w:customStyle="1" w:styleId="cf01">
    <w:name w:val="cf01"/>
    <w:basedOn w:val="Carpredefinitoparagrafo"/>
    <w:rsid w:val="00FB2F37"/>
    <w:rPr>
      <w:rFonts w:ascii="Segoe UI" w:hAnsi="Segoe UI" w:cs="Segoe UI" w:hint="default"/>
      <w:sz w:val="18"/>
      <w:szCs w:val="18"/>
    </w:rPr>
  </w:style>
  <w:style w:type="table" w:customStyle="1" w:styleId="Grigliatabella1">
    <w:name w:val="Griglia tabella1"/>
    <w:rsid w:val="006469B8"/>
    <w:pPr>
      <w:spacing w:after="0" w:line="240" w:lineRule="auto"/>
    </w:pPr>
    <w:tblPr>
      <w:tblCellMar>
        <w:top w:w="0" w:type="dxa"/>
        <w:left w:w="0" w:type="dxa"/>
        <w:bottom w:w="0" w:type="dxa"/>
        <w:right w:w="0" w:type="dxa"/>
      </w:tblCellMar>
    </w:tblPr>
  </w:style>
  <w:style w:type="table" w:customStyle="1" w:styleId="TableGrid0">
    <w:name w:val="Table Grid0"/>
    <w:basedOn w:val="Tabellanormale"/>
    <w:uiPriority w:val="39"/>
    <w:rsid w:val="00646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chiara">
    <w:name w:val="Grid Table Light"/>
    <w:basedOn w:val="Tabellanormale"/>
    <w:uiPriority w:val="40"/>
    <w:rsid w:val="00BC50DF"/>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e"/>
    <w:rsid w:val="00825A8B"/>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customStyle="1" w:styleId="normaltextrun">
    <w:name w:val="normaltextrun"/>
    <w:basedOn w:val="Carpredefinitoparagrafo"/>
    <w:rsid w:val="00825A8B"/>
  </w:style>
  <w:style w:type="character" w:customStyle="1" w:styleId="eop">
    <w:name w:val="eop"/>
    <w:basedOn w:val="Carpredefinitoparagrafo"/>
    <w:rsid w:val="00825A8B"/>
  </w:style>
  <w:style w:type="character" w:customStyle="1" w:styleId="superscript">
    <w:name w:val="superscript"/>
    <w:basedOn w:val="Carpredefinitoparagrafo"/>
    <w:rsid w:val="00825A8B"/>
  </w:style>
  <w:style w:type="table" w:styleId="Grigliatabella">
    <w:name w:val="Table Grid"/>
    <w:basedOn w:val="Tabellanormale"/>
    <w:uiPriority w:val="39"/>
    <w:rsid w:val="00547583"/>
    <w:pPr>
      <w:spacing w:after="0" w:line="240" w:lineRule="auto"/>
    </w:pPr>
    <w:rPr>
      <w:rFonts w:eastAsiaTheme="minorHAnsi"/>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Carpredefinitoparagrafo"/>
    <w:rsid w:val="001774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718764">
      <w:bodyDiv w:val="1"/>
      <w:marLeft w:val="0"/>
      <w:marRight w:val="0"/>
      <w:marTop w:val="0"/>
      <w:marBottom w:val="0"/>
      <w:divBdr>
        <w:top w:val="none" w:sz="0" w:space="0" w:color="auto"/>
        <w:left w:val="none" w:sz="0" w:space="0" w:color="auto"/>
        <w:bottom w:val="none" w:sz="0" w:space="0" w:color="auto"/>
        <w:right w:val="none" w:sz="0" w:space="0" w:color="auto"/>
      </w:divBdr>
    </w:div>
    <w:div w:id="378820535">
      <w:bodyDiv w:val="1"/>
      <w:marLeft w:val="0"/>
      <w:marRight w:val="0"/>
      <w:marTop w:val="0"/>
      <w:marBottom w:val="0"/>
      <w:divBdr>
        <w:top w:val="none" w:sz="0" w:space="0" w:color="auto"/>
        <w:left w:val="none" w:sz="0" w:space="0" w:color="auto"/>
        <w:bottom w:val="none" w:sz="0" w:space="0" w:color="auto"/>
        <w:right w:val="none" w:sz="0" w:space="0" w:color="auto"/>
      </w:divBdr>
    </w:div>
    <w:div w:id="380249408">
      <w:bodyDiv w:val="1"/>
      <w:marLeft w:val="0"/>
      <w:marRight w:val="0"/>
      <w:marTop w:val="0"/>
      <w:marBottom w:val="0"/>
      <w:divBdr>
        <w:top w:val="none" w:sz="0" w:space="0" w:color="auto"/>
        <w:left w:val="none" w:sz="0" w:space="0" w:color="auto"/>
        <w:bottom w:val="none" w:sz="0" w:space="0" w:color="auto"/>
        <w:right w:val="none" w:sz="0" w:space="0" w:color="auto"/>
      </w:divBdr>
    </w:div>
    <w:div w:id="771049321">
      <w:bodyDiv w:val="1"/>
      <w:marLeft w:val="0"/>
      <w:marRight w:val="0"/>
      <w:marTop w:val="0"/>
      <w:marBottom w:val="0"/>
      <w:divBdr>
        <w:top w:val="none" w:sz="0" w:space="0" w:color="auto"/>
        <w:left w:val="none" w:sz="0" w:space="0" w:color="auto"/>
        <w:bottom w:val="none" w:sz="0" w:space="0" w:color="auto"/>
        <w:right w:val="none" w:sz="0" w:space="0" w:color="auto"/>
      </w:divBdr>
      <w:divsChild>
        <w:div w:id="950666411">
          <w:marLeft w:val="0"/>
          <w:marRight w:val="0"/>
          <w:marTop w:val="0"/>
          <w:marBottom w:val="0"/>
          <w:divBdr>
            <w:top w:val="none" w:sz="0" w:space="0" w:color="auto"/>
            <w:left w:val="none" w:sz="0" w:space="0" w:color="auto"/>
            <w:bottom w:val="none" w:sz="0" w:space="0" w:color="auto"/>
            <w:right w:val="none" w:sz="0" w:space="0" w:color="auto"/>
          </w:divBdr>
          <w:divsChild>
            <w:div w:id="1139105095">
              <w:marLeft w:val="0"/>
              <w:marRight w:val="0"/>
              <w:marTop w:val="0"/>
              <w:marBottom w:val="0"/>
              <w:divBdr>
                <w:top w:val="none" w:sz="0" w:space="0" w:color="auto"/>
                <w:left w:val="none" w:sz="0" w:space="0" w:color="auto"/>
                <w:bottom w:val="none" w:sz="0" w:space="0" w:color="auto"/>
                <w:right w:val="none" w:sz="0" w:space="0" w:color="auto"/>
              </w:divBdr>
            </w:div>
            <w:div w:id="400520703">
              <w:marLeft w:val="0"/>
              <w:marRight w:val="0"/>
              <w:marTop w:val="0"/>
              <w:marBottom w:val="0"/>
              <w:divBdr>
                <w:top w:val="none" w:sz="0" w:space="0" w:color="auto"/>
                <w:left w:val="none" w:sz="0" w:space="0" w:color="auto"/>
                <w:bottom w:val="none" w:sz="0" w:space="0" w:color="auto"/>
                <w:right w:val="none" w:sz="0" w:space="0" w:color="auto"/>
              </w:divBdr>
            </w:div>
            <w:div w:id="367023762">
              <w:marLeft w:val="0"/>
              <w:marRight w:val="0"/>
              <w:marTop w:val="0"/>
              <w:marBottom w:val="0"/>
              <w:divBdr>
                <w:top w:val="none" w:sz="0" w:space="0" w:color="auto"/>
                <w:left w:val="none" w:sz="0" w:space="0" w:color="auto"/>
                <w:bottom w:val="none" w:sz="0" w:space="0" w:color="auto"/>
                <w:right w:val="none" w:sz="0" w:space="0" w:color="auto"/>
              </w:divBdr>
            </w:div>
          </w:divsChild>
        </w:div>
        <w:div w:id="1668631115">
          <w:marLeft w:val="0"/>
          <w:marRight w:val="0"/>
          <w:marTop w:val="0"/>
          <w:marBottom w:val="0"/>
          <w:divBdr>
            <w:top w:val="none" w:sz="0" w:space="0" w:color="auto"/>
            <w:left w:val="none" w:sz="0" w:space="0" w:color="auto"/>
            <w:bottom w:val="none" w:sz="0" w:space="0" w:color="auto"/>
            <w:right w:val="none" w:sz="0" w:space="0" w:color="auto"/>
          </w:divBdr>
          <w:divsChild>
            <w:div w:id="809131198">
              <w:marLeft w:val="0"/>
              <w:marRight w:val="0"/>
              <w:marTop w:val="0"/>
              <w:marBottom w:val="0"/>
              <w:divBdr>
                <w:top w:val="none" w:sz="0" w:space="0" w:color="auto"/>
                <w:left w:val="none" w:sz="0" w:space="0" w:color="auto"/>
                <w:bottom w:val="none" w:sz="0" w:space="0" w:color="auto"/>
                <w:right w:val="none" w:sz="0" w:space="0" w:color="auto"/>
              </w:divBdr>
            </w:div>
            <w:div w:id="761074887">
              <w:marLeft w:val="0"/>
              <w:marRight w:val="0"/>
              <w:marTop w:val="0"/>
              <w:marBottom w:val="0"/>
              <w:divBdr>
                <w:top w:val="none" w:sz="0" w:space="0" w:color="auto"/>
                <w:left w:val="none" w:sz="0" w:space="0" w:color="auto"/>
                <w:bottom w:val="none" w:sz="0" w:space="0" w:color="auto"/>
                <w:right w:val="none" w:sz="0" w:space="0" w:color="auto"/>
              </w:divBdr>
            </w:div>
            <w:div w:id="1260674194">
              <w:marLeft w:val="0"/>
              <w:marRight w:val="0"/>
              <w:marTop w:val="0"/>
              <w:marBottom w:val="0"/>
              <w:divBdr>
                <w:top w:val="none" w:sz="0" w:space="0" w:color="auto"/>
                <w:left w:val="none" w:sz="0" w:space="0" w:color="auto"/>
                <w:bottom w:val="none" w:sz="0" w:space="0" w:color="auto"/>
                <w:right w:val="none" w:sz="0" w:space="0" w:color="auto"/>
              </w:divBdr>
            </w:div>
          </w:divsChild>
        </w:div>
        <w:div w:id="731078487">
          <w:marLeft w:val="0"/>
          <w:marRight w:val="0"/>
          <w:marTop w:val="0"/>
          <w:marBottom w:val="0"/>
          <w:divBdr>
            <w:top w:val="none" w:sz="0" w:space="0" w:color="auto"/>
            <w:left w:val="none" w:sz="0" w:space="0" w:color="auto"/>
            <w:bottom w:val="none" w:sz="0" w:space="0" w:color="auto"/>
            <w:right w:val="none" w:sz="0" w:space="0" w:color="auto"/>
          </w:divBdr>
          <w:divsChild>
            <w:div w:id="1830749309">
              <w:marLeft w:val="0"/>
              <w:marRight w:val="0"/>
              <w:marTop w:val="0"/>
              <w:marBottom w:val="0"/>
              <w:divBdr>
                <w:top w:val="none" w:sz="0" w:space="0" w:color="auto"/>
                <w:left w:val="none" w:sz="0" w:space="0" w:color="auto"/>
                <w:bottom w:val="none" w:sz="0" w:space="0" w:color="auto"/>
                <w:right w:val="none" w:sz="0" w:space="0" w:color="auto"/>
              </w:divBdr>
            </w:div>
            <w:div w:id="119434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592218">
      <w:bodyDiv w:val="1"/>
      <w:marLeft w:val="0"/>
      <w:marRight w:val="0"/>
      <w:marTop w:val="0"/>
      <w:marBottom w:val="0"/>
      <w:divBdr>
        <w:top w:val="none" w:sz="0" w:space="0" w:color="auto"/>
        <w:left w:val="none" w:sz="0" w:space="0" w:color="auto"/>
        <w:bottom w:val="none" w:sz="0" w:space="0" w:color="auto"/>
        <w:right w:val="none" w:sz="0" w:space="0" w:color="auto"/>
      </w:divBdr>
    </w:div>
    <w:div w:id="1339847816">
      <w:bodyDiv w:val="1"/>
      <w:marLeft w:val="0"/>
      <w:marRight w:val="0"/>
      <w:marTop w:val="0"/>
      <w:marBottom w:val="0"/>
      <w:divBdr>
        <w:top w:val="none" w:sz="0" w:space="0" w:color="auto"/>
        <w:left w:val="none" w:sz="0" w:space="0" w:color="auto"/>
        <w:bottom w:val="none" w:sz="0" w:space="0" w:color="auto"/>
        <w:right w:val="none" w:sz="0" w:space="0" w:color="auto"/>
      </w:divBdr>
    </w:div>
    <w:div w:id="1521161347">
      <w:bodyDiv w:val="1"/>
      <w:marLeft w:val="0"/>
      <w:marRight w:val="0"/>
      <w:marTop w:val="0"/>
      <w:marBottom w:val="0"/>
      <w:divBdr>
        <w:top w:val="none" w:sz="0" w:space="0" w:color="auto"/>
        <w:left w:val="none" w:sz="0" w:space="0" w:color="auto"/>
        <w:bottom w:val="none" w:sz="0" w:space="0" w:color="auto"/>
        <w:right w:val="none" w:sz="0" w:space="0" w:color="auto"/>
      </w:divBdr>
    </w:div>
    <w:div w:id="1660813782">
      <w:bodyDiv w:val="1"/>
      <w:marLeft w:val="0"/>
      <w:marRight w:val="0"/>
      <w:marTop w:val="0"/>
      <w:marBottom w:val="0"/>
      <w:divBdr>
        <w:top w:val="none" w:sz="0" w:space="0" w:color="auto"/>
        <w:left w:val="none" w:sz="0" w:space="0" w:color="auto"/>
        <w:bottom w:val="none" w:sz="0" w:space="0" w:color="auto"/>
        <w:right w:val="none" w:sz="0" w:space="0" w:color="auto"/>
      </w:divBdr>
    </w:div>
    <w:div w:id="2092044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italiadomani.gov.it/it/Interventi/dnsh.htm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jpg"/><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5B84ED2-AE3B-48A3-8259-22937C493F82}">
  <we:reference id="wa200004485" version="1.1.0.0" store="it-IT" storeType="OMEX"/>
  <we:alternateReferences>
    <we:reference id="WA200004485" version="1.1.0.0" store="WA200004485"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376ED2D995F2A44901D92E21F156679" ma:contentTypeVersion="13" ma:contentTypeDescription="Creare un nuovo documento." ma:contentTypeScope="" ma:versionID="117b6e63637a8d14c39e1173e7d410b6">
  <xsd:schema xmlns:xsd="http://www.w3.org/2001/XMLSchema" xmlns:xs="http://www.w3.org/2001/XMLSchema" xmlns:p="http://schemas.microsoft.com/office/2006/metadata/properties" xmlns:ns2="158254a4-a9ce-4720-8400-4a52a3b99059" xmlns:ns3="c0008e6a-bacb-4fcf-ac5d-1ba3b4e12ec6" targetNamespace="http://schemas.microsoft.com/office/2006/metadata/properties" ma:root="true" ma:fieldsID="2cc73e9a0b012378eecee14303a8fd0f" ns2:_="" ns3:_="">
    <xsd:import namespace="158254a4-a9ce-4720-8400-4a52a3b99059"/>
    <xsd:import namespace="c0008e6a-bacb-4fcf-ac5d-1ba3b4e12ec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8254a4-a9ce-4720-8400-4a52a3b990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008e6a-bacb-4fcf-ac5d-1ba3b4e12ec6"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1e602cc6-f427-4db5-ba58-678d86b6d09a}" ma:internalName="TaxCatchAll" ma:showField="CatchAllData" ma:web="c0008e6a-bacb-4fcf-ac5d-1ba3b4e12e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0008e6a-bacb-4fcf-ac5d-1ba3b4e12ec6" xsi:nil="true"/>
    <lcf76f155ced4ddcb4097134ff3c332f xmlns="158254a4-a9ce-4720-8400-4a52a3b9905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2386D-6EA7-4162-99F9-5142D5D4AD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8254a4-a9ce-4720-8400-4a52a3b99059"/>
    <ds:schemaRef ds:uri="c0008e6a-bacb-4fcf-ac5d-1ba3b4e12e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B15534-86B8-497C-A4D5-FFED812FC966}">
  <ds:schemaRefs>
    <ds:schemaRef ds:uri="http://schemas.microsoft.com/sharepoint/v3/contenttype/forms"/>
  </ds:schemaRefs>
</ds:datastoreItem>
</file>

<file path=customXml/itemProps3.xml><?xml version="1.0" encoding="utf-8"?>
<ds:datastoreItem xmlns:ds="http://schemas.openxmlformats.org/officeDocument/2006/customXml" ds:itemID="{60AB24E6-1767-49DC-8ECF-525B90D5859B}">
  <ds:schemaRefs>
    <ds:schemaRef ds:uri="http://purl.org/dc/elements/1.1/"/>
    <ds:schemaRef ds:uri="4bc7763d-93dc-40ba-9929-35b2bbecb304"/>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schemas.microsoft.com/office/infopath/2007/PartnerControls"/>
    <ds:schemaRef ds:uri="acfede7a-0627-49a1-9e22-5d4d4c6cf107"/>
    <ds:schemaRef ds:uri="http://www.w3.org/XML/1998/namespace"/>
    <ds:schemaRef ds:uri="http://purl.org/dc/dcmitype/"/>
    <ds:schemaRef ds:uri="c0008e6a-bacb-4fcf-ac5d-1ba3b4e12ec6"/>
    <ds:schemaRef ds:uri="158254a4-a9ce-4720-8400-4a52a3b99059"/>
  </ds:schemaRefs>
</ds:datastoreItem>
</file>

<file path=customXml/itemProps4.xml><?xml version="1.0" encoding="utf-8"?>
<ds:datastoreItem xmlns:ds="http://schemas.openxmlformats.org/officeDocument/2006/customXml" ds:itemID="{873E4821-91E2-4740-803A-2A2DB3853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4732</Words>
  <Characters>26977</Characters>
  <Application>Microsoft Office Word</Application>
  <DocSecurity>0</DocSecurity>
  <Lines>224</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31646</CharactersWithSpaces>
  <SharedDoc>false</SharedDoc>
  <HLinks>
    <vt:vector size="96" baseType="variant">
      <vt:variant>
        <vt:i4>2031667</vt:i4>
      </vt:variant>
      <vt:variant>
        <vt:i4>74</vt:i4>
      </vt:variant>
      <vt:variant>
        <vt:i4>0</vt:i4>
      </vt:variant>
      <vt:variant>
        <vt:i4>5</vt:i4>
      </vt:variant>
      <vt:variant>
        <vt:lpwstr/>
      </vt:variant>
      <vt:variant>
        <vt:lpwstr>_Toc149821957</vt:lpwstr>
      </vt:variant>
      <vt:variant>
        <vt:i4>2031667</vt:i4>
      </vt:variant>
      <vt:variant>
        <vt:i4>68</vt:i4>
      </vt:variant>
      <vt:variant>
        <vt:i4>0</vt:i4>
      </vt:variant>
      <vt:variant>
        <vt:i4>5</vt:i4>
      </vt:variant>
      <vt:variant>
        <vt:lpwstr/>
      </vt:variant>
      <vt:variant>
        <vt:lpwstr>_Toc149821956</vt:lpwstr>
      </vt:variant>
      <vt:variant>
        <vt:i4>2031667</vt:i4>
      </vt:variant>
      <vt:variant>
        <vt:i4>62</vt:i4>
      </vt:variant>
      <vt:variant>
        <vt:i4>0</vt:i4>
      </vt:variant>
      <vt:variant>
        <vt:i4>5</vt:i4>
      </vt:variant>
      <vt:variant>
        <vt:lpwstr/>
      </vt:variant>
      <vt:variant>
        <vt:lpwstr>_Toc149821955</vt:lpwstr>
      </vt:variant>
      <vt:variant>
        <vt:i4>2031667</vt:i4>
      </vt:variant>
      <vt:variant>
        <vt:i4>56</vt:i4>
      </vt:variant>
      <vt:variant>
        <vt:i4>0</vt:i4>
      </vt:variant>
      <vt:variant>
        <vt:i4>5</vt:i4>
      </vt:variant>
      <vt:variant>
        <vt:lpwstr/>
      </vt:variant>
      <vt:variant>
        <vt:lpwstr>_Toc149821954</vt:lpwstr>
      </vt:variant>
      <vt:variant>
        <vt:i4>2031667</vt:i4>
      </vt:variant>
      <vt:variant>
        <vt:i4>50</vt:i4>
      </vt:variant>
      <vt:variant>
        <vt:i4>0</vt:i4>
      </vt:variant>
      <vt:variant>
        <vt:i4>5</vt:i4>
      </vt:variant>
      <vt:variant>
        <vt:lpwstr/>
      </vt:variant>
      <vt:variant>
        <vt:lpwstr>_Toc149821953</vt:lpwstr>
      </vt:variant>
      <vt:variant>
        <vt:i4>2031667</vt:i4>
      </vt:variant>
      <vt:variant>
        <vt:i4>44</vt:i4>
      </vt:variant>
      <vt:variant>
        <vt:i4>0</vt:i4>
      </vt:variant>
      <vt:variant>
        <vt:i4>5</vt:i4>
      </vt:variant>
      <vt:variant>
        <vt:lpwstr/>
      </vt:variant>
      <vt:variant>
        <vt:lpwstr>_Toc149821952</vt:lpwstr>
      </vt:variant>
      <vt:variant>
        <vt:i4>2031667</vt:i4>
      </vt:variant>
      <vt:variant>
        <vt:i4>38</vt:i4>
      </vt:variant>
      <vt:variant>
        <vt:i4>0</vt:i4>
      </vt:variant>
      <vt:variant>
        <vt:i4>5</vt:i4>
      </vt:variant>
      <vt:variant>
        <vt:lpwstr/>
      </vt:variant>
      <vt:variant>
        <vt:lpwstr>_Toc149821951</vt:lpwstr>
      </vt:variant>
      <vt:variant>
        <vt:i4>2031667</vt:i4>
      </vt:variant>
      <vt:variant>
        <vt:i4>32</vt:i4>
      </vt:variant>
      <vt:variant>
        <vt:i4>0</vt:i4>
      </vt:variant>
      <vt:variant>
        <vt:i4>5</vt:i4>
      </vt:variant>
      <vt:variant>
        <vt:lpwstr/>
      </vt:variant>
      <vt:variant>
        <vt:lpwstr>_Toc149821950</vt:lpwstr>
      </vt:variant>
      <vt:variant>
        <vt:i4>1966131</vt:i4>
      </vt:variant>
      <vt:variant>
        <vt:i4>26</vt:i4>
      </vt:variant>
      <vt:variant>
        <vt:i4>0</vt:i4>
      </vt:variant>
      <vt:variant>
        <vt:i4>5</vt:i4>
      </vt:variant>
      <vt:variant>
        <vt:lpwstr/>
      </vt:variant>
      <vt:variant>
        <vt:lpwstr>_Toc149821949</vt:lpwstr>
      </vt:variant>
      <vt:variant>
        <vt:i4>1966131</vt:i4>
      </vt:variant>
      <vt:variant>
        <vt:i4>20</vt:i4>
      </vt:variant>
      <vt:variant>
        <vt:i4>0</vt:i4>
      </vt:variant>
      <vt:variant>
        <vt:i4>5</vt:i4>
      </vt:variant>
      <vt:variant>
        <vt:lpwstr/>
      </vt:variant>
      <vt:variant>
        <vt:lpwstr>_Toc149821948</vt:lpwstr>
      </vt:variant>
      <vt:variant>
        <vt:i4>1966131</vt:i4>
      </vt:variant>
      <vt:variant>
        <vt:i4>14</vt:i4>
      </vt:variant>
      <vt:variant>
        <vt:i4>0</vt:i4>
      </vt:variant>
      <vt:variant>
        <vt:i4>5</vt:i4>
      </vt:variant>
      <vt:variant>
        <vt:lpwstr/>
      </vt:variant>
      <vt:variant>
        <vt:lpwstr>_Toc149821947</vt:lpwstr>
      </vt:variant>
      <vt:variant>
        <vt:i4>1966131</vt:i4>
      </vt:variant>
      <vt:variant>
        <vt:i4>8</vt:i4>
      </vt:variant>
      <vt:variant>
        <vt:i4>0</vt:i4>
      </vt:variant>
      <vt:variant>
        <vt:i4>5</vt:i4>
      </vt:variant>
      <vt:variant>
        <vt:lpwstr/>
      </vt:variant>
      <vt:variant>
        <vt:lpwstr>_Toc149821946</vt:lpwstr>
      </vt:variant>
      <vt:variant>
        <vt:i4>1966131</vt:i4>
      </vt:variant>
      <vt:variant>
        <vt:i4>2</vt:i4>
      </vt:variant>
      <vt:variant>
        <vt:i4>0</vt:i4>
      </vt:variant>
      <vt:variant>
        <vt:i4>5</vt:i4>
      </vt:variant>
      <vt:variant>
        <vt:lpwstr/>
      </vt:variant>
      <vt:variant>
        <vt:lpwstr>_Toc149821945</vt:lpwstr>
      </vt:variant>
      <vt:variant>
        <vt:i4>2359402</vt:i4>
      </vt:variant>
      <vt:variant>
        <vt:i4>18</vt:i4>
      </vt:variant>
      <vt:variant>
        <vt:i4>0</vt:i4>
      </vt:variant>
      <vt:variant>
        <vt:i4>5</vt:i4>
      </vt:variant>
      <vt:variant>
        <vt:lpwstr>https://www.italiadomani.gov.it/content/sogei-ng/it/it/strumenti/documenti/archivio-documenti/le-slide-del-webinar--il-principio--dnsh-nei-lavori-per-edificaz.html</vt:lpwstr>
      </vt:variant>
      <vt:variant>
        <vt:lpwstr/>
      </vt:variant>
      <vt:variant>
        <vt:i4>8257580</vt:i4>
      </vt:variant>
      <vt:variant>
        <vt:i4>0</vt:i4>
      </vt:variant>
      <vt:variant>
        <vt:i4>0</vt:i4>
      </vt:variant>
      <vt:variant>
        <vt:i4>5</vt:i4>
      </vt:variant>
      <vt:variant>
        <vt:lpwstr>https://italiadomani.gov.it/it/Interventi/dnsh.html</vt:lpwstr>
      </vt:variant>
      <vt:variant>
        <vt:lpwstr/>
      </vt:variant>
      <vt:variant>
        <vt:i4>2359402</vt:i4>
      </vt:variant>
      <vt:variant>
        <vt:i4>0</vt:i4>
      </vt:variant>
      <vt:variant>
        <vt:i4>0</vt:i4>
      </vt:variant>
      <vt:variant>
        <vt:i4>5</vt:i4>
      </vt:variant>
      <vt:variant>
        <vt:lpwstr>https://www.italiadomani.gov.it/content/sogei-ng/it/it/strumenti/documenti/archivio-documenti/le-slide-del-webinar--il-principio--dnsh-nei-lavori-per-edificaz.html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Spinillo</dc:creator>
  <cp:keywords/>
  <cp:lastModifiedBy>AT Invitalia</cp:lastModifiedBy>
  <cp:revision>11</cp:revision>
  <cp:lastPrinted>2023-03-21T13:30:00Z</cp:lastPrinted>
  <dcterms:created xsi:type="dcterms:W3CDTF">2023-11-20T13:49:00Z</dcterms:created>
  <dcterms:modified xsi:type="dcterms:W3CDTF">2023-12-04T10:38:00Z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0x0101003376ED2D995F2A44901D92E21F156679</vt:lpwstr>
  </property>
  <property fmtid="{D5CDD505-2E9C-101B-9397-08002B2CF9AE}" pid="3" name="MediaServiceImageTags">
    <vt:lpwstr/>
  </property>
</Properties>
</file>